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hint="eastAsia" w:ascii="Times New Roman" w:hAnsi="Times New Roman" w:cs="Times New Roman"/>
          <w:b/>
          <w:color w:val="000000"/>
          <w:sz w:val="32"/>
          <w:szCs w:val="32"/>
        </w:rPr>
        <w:t>附件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>1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</w:pPr>
      <w:r>
        <w:rPr>
          <w:rFonts w:hint="eastAsia" w:ascii="Times New Roman" w:eastAsia="华文中宋" w:cs="Times New Roman"/>
          <w:b/>
          <w:bCs/>
          <w:color w:val="000000"/>
          <w:sz w:val="36"/>
          <w:szCs w:val="36"/>
        </w:rPr>
        <w:t>吉林省</w:t>
      </w: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2018—2020</w:t>
      </w:r>
      <w:r>
        <w:rPr>
          <w:rFonts w:hint="eastAsia" w:ascii="Times New Roman" w:eastAsia="华文中宋" w:cs="Times New Roman"/>
          <w:b/>
          <w:bCs/>
          <w:color w:val="000000"/>
          <w:sz w:val="36"/>
          <w:szCs w:val="36"/>
        </w:rPr>
        <w:t>年农业机械</w:t>
      </w:r>
    </w:p>
    <w:p>
      <w:pPr>
        <w:spacing w:line="600" w:lineRule="exact"/>
        <w:jc w:val="center"/>
        <w:rPr>
          <w:rFonts w:ascii="Times New Roman" w:hAnsi="Times New Roman" w:eastAsia="微软雅黑" w:cs="Times New Roman"/>
          <w:color w:val="000000"/>
          <w:sz w:val="36"/>
          <w:szCs w:val="36"/>
        </w:rPr>
      </w:pPr>
      <w:r>
        <w:rPr>
          <w:rFonts w:hint="eastAsia" w:ascii="Times New Roman" w:eastAsia="华文中宋" w:cs="Times New Roman"/>
          <w:b/>
          <w:bCs/>
          <w:color w:val="000000"/>
          <w:sz w:val="36"/>
          <w:szCs w:val="36"/>
        </w:rPr>
        <w:t>购置补贴机具种类范围</w:t>
      </w:r>
    </w:p>
    <w:p>
      <w:pPr>
        <w:spacing w:line="600" w:lineRule="exact"/>
        <w:jc w:val="center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 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（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大类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26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个小类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47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个品目）</w:t>
      </w:r>
    </w:p>
    <w:p>
      <w:pPr>
        <w:spacing w:line="600" w:lineRule="exact"/>
        <w:ind w:firstLine="90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 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．耕整地机械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耕地机械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铧式犁（只补贴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铧及以上的液压翻转犁）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1.1.2</w:t>
      </w:r>
      <w:r>
        <w:rPr>
          <w:rFonts w:ascii="Times New Roman" w:hAnsi="Times New Roman" w:cs="Times New Roman"/>
          <w:color w:val="000000"/>
          <w:sz w:val="30"/>
        </w:rPr>
        <w:t> 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深松机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1.1.3</w:t>
      </w:r>
      <w:r>
        <w:rPr>
          <w:rFonts w:ascii="Times New Roman" w:hAnsi="Times New Roman" w:cs="Times New Roman"/>
          <w:color w:val="000000"/>
          <w:sz w:val="30"/>
        </w:rPr>
        <w:t> 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微耕机（只补贴功率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4.0kw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及以上的）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整地机械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1.2.1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筑埂机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．种植施肥机械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播种机械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条播机（只补贴作业幅宽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米及以上的）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穴播机（只补贴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行及以上的）</w:t>
      </w:r>
    </w:p>
    <w:p>
      <w:pPr>
        <w:spacing w:line="600" w:lineRule="exact"/>
        <w:ind w:firstLine="147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根茎作物播种机（只补贴马铃薯播种机）</w:t>
      </w:r>
    </w:p>
    <w:p>
      <w:pPr>
        <w:spacing w:line="600" w:lineRule="exact"/>
        <w:ind w:left="31680" w:leftChars="698" w:hangingChars="750" w:firstLine="3168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2.1.4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免耕播种机（只补贴牵引式，具备破茬、切草、清垄及开沟部件及具有切茬、分茬、防堵塞和防缠绕功能的）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育苗机械设备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秧盘播种成套设备（含床土处理）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2.3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栽植机械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2.3.1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水稻插秧机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2.4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施肥机械</w:t>
      </w:r>
    </w:p>
    <w:p>
      <w:pPr>
        <w:spacing w:line="600" w:lineRule="exact"/>
        <w:ind w:firstLine="150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2.4.1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施肥机（只补贴水稻侧深施肥机）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．田间管理机械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3.1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中耕机械</w:t>
      </w:r>
    </w:p>
    <w:p>
      <w:pPr>
        <w:spacing w:line="600" w:lineRule="exact"/>
        <w:ind w:firstLine="1575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田园管理机（只补贴功率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4.0kw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及以上的）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3.2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植保机械</w:t>
      </w:r>
    </w:p>
    <w:p>
      <w:pPr>
        <w:spacing w:line="600" w:lineRule="exact"/>
        <w:ind w:left="31680" w:leftChars="748" w:hangingChars="800" w:firstLine="31680"/>
        <w:jc w:val="left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喷杆喷雾机（只补贴自走式四轮驱动、四轮转向和悬挂式、牵引式的）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．收获机械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谷物收获机械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自走轮式谷物联合收割机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自走履带式谷物联合收割机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半喂入联合收割机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玉米收获机械</w:t>
      </w:r>
    </w:p>
    <w:p>
      <w:pPr>
        <w:spacing w:line="600" w:lineRule="exact"/>
        <w:ind w:firstLine="1569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自走式玉米收获机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自走式玉米籽粒联合收获机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穗茎兼收玉米收获机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4.3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果实收获机械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4.3.1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辣椒收获机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4.4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根茎作物收获机械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4.4.1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薯类收获机（只补贴马铃薯收获机）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4.4.2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花生收获机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4.5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饲料作物收获机械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4.5.1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打（压）捆机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4.5.2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青饲料收获机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4.6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茎秆收集处理机械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4.6.1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秸秆粉碎还田机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．收获后处理机械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脱粒机械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花生摘果机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清选机械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粮食清选机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5.3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干燥机械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5.3.1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谷物烘干机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5.3.2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果蔬烘干机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农产品初加工机械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6.1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果蔬加工机械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蔬菜清洗机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6.2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剥壳（去皮）机械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花生脱壳机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6.2.2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干坚果脱壳机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7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．排灌机械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7.1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喷灌机械设备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7.1.1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喷灌机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．畜牧机械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8.1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饲料（草）加工机械设备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揉丝机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饲料（草）粉碎机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颗粒饲料压制机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8.1.4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秸秆膨化机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8.2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饲养机械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喂料机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清粪机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粪污固液分离机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>9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．农业废弃物利用处理设备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9.1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废弃物处理设备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残膜回收机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秸秆压块（粒、棒）机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病死畜禽无害化处理设备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10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．农田基本建设机械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10.1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平地机械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10.1.1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平地机（含激光平地机）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．动力机械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11.1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拖拉机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轮式拖拉机（只补贴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30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马力及以上的）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11.1.2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履带式拖拉机（只补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30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马力及以上的）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12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．其他机械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12.1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其他机械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12.1.1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农业用北斗终端（只补贴陆地用）</w:t>
      </w:r>
    </w:p>
    <w:p>
      <w:pPr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仿宋"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Cs/>
          <w:sz w:val="32"/>
          <w:szCs w:val="32"/>
        </w:rPr>
        <w:t>附件</w:t>
      </w:r>
      <w:r>
        <w:rPr>
          <w:rFonts w:ascii="仿宋" w:hAnsi="仿宋" w:eastAsia="仿宋" w:cs="仿宋"/>
          <w:bCs/>
          <w:sz w:val="32"/>
          <w:szCs w:val="32"/>
        </w:rPr>
        <w:t>3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</w:pP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2018</w:t>
      </w:r>
      <w:r>
        <w:rPr>
          <w:rFonts w:hint="eastAsia" w:ascii="Times New Roman" w:eastAsia="华文中宋" w:cs="Times New Roman"/>
          <w:b/>
          <w:bCs/>
          <w:color w:val="000000"/>
          <w:sz w:val="36"/>
          <w:szCs w:val="36"/>
        </w:rPr>
        <w:t>年吉林省农机购置补贴机具补贴额一览表</w:t>
      </w:r>
    </w:p>
    <w:tbl>
      <w:tblPr>
        <w:tblpPr w:leftFromText="180" w:rightFromText="180" w:vertAnchor="text" w:horzAnchor="page" w:tblpX="831" w:tblpY="328"/>
        <w:tblOverlap w:val="never"/>
        <w:tblW w:w="15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637"/>
        <w:gridCol w:w="1510"/>
        <w:gridCol w:w="1188"/>
        <w:gridCol w:w="1966"/>
        <w:gridCol w:w="3008"/>
        <w:gridCol w:w="4452"/>
        <w:gridCol w:w="1326"/>
        <w:gridCol w:w="1525"/>
      </w:tblGrid>
      <w:tr>
        <w:trPr>
          <w:trHeight w:val="739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大类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小类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品目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分档名称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基本配置和参数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中央财政补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贴额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元）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铧翻转犁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1040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铧及以上翻转犁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铧翻转犁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35—45cm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铧翻转犁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4200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04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35—45cm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铧及以上翻转犁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09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铧翻转犁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铧及以上翻转犁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20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铲及以下深松机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深松部件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个及以下（不含旋耕、灭茬功能）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29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铲深松机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深松部件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个（不含旋耕、灭茬功能）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2300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8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铲及以上深松机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深松部件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个及以上（不含旋耕、灭茬功能）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9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铲及以下振动式深松机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振动式；深松部件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个及以下；具有主动振动装置（不含旋耕、灭茬功能）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2160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26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铲振动式深松机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振动式；深松部件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个；具有主动振动装置（不含旋耕、灭茬功能）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2160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6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铲及以上振动式深松机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振动式；深松部件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个及以上；具有主动振动装置（不含旋耕、灭茬功能）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3240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6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微耕机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4.0kW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及以上微耕机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配套功率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≥4.0kW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整地机械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筑埂机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筑埂高度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筑埂高度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≥25cm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行及以下条播机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360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7—11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≤11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12—18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≤18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19—24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≤24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穴播机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1380</w:t>
            </w:r>
          </w:p>
        </w:tc>
        <w:tc>
          <w:tcPr>
            <w:tcW w:w="1525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精量播种器包括气力式和达到精量要求的指夹式，其他列为普通型式　</w:t>
            </w:r>
          </w:p>
        </w:tc>
      </w:tr>
      <w:tr>
        <w:trPr>
          <w:trHeight w:val="3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穴播机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1890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rPr>
          <w:trHeight w:val="3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穴播机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行精量穴播机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2160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rPr>
          <w:trHeight w:val="3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穴播机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6—10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行精量穴播机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≤10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4050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rPr>
          <w:trHeight w:val="362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穴播机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行及以上精量穴播机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6300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rPr>
          <w:trHeight w:val="3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根茎作物播种机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行马铃薯播种机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2900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6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根茎作物播种机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行及以上马铃薯播种机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13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行免耕穴播机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810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）精量排种器包括气力式和达到精量要求的指夹式，其他列为普通型式；（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）具备破茬、切草、清垄及开沟部件及具有切茬、分茬、防堵塞和防缠绕功能</w:t>
            </w:r>
          </w:p>
        </w:tc>
      </w:tr>
      <w:tr>
        <w:trPr>
          <w:trHeight w:val="3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行免耕穴播机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1260</w:t>
            </w:r>
          </w:p>
        </w:tc>
        <w:tc>
          <w:tcPr>
            <w:tcW w:w="1525" w:type="dxa"/>
            <w:vMerge w:val="restart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）精量排种器包括气力式和达到精量要求的指夹式，其他列为普通型式；（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）具备破茬、切草、清垄及开沟部件及具有切茬、分茬、防堵塞和防缠绕功能</w:t>
            </w:r>
          </w:p>
        </w:tc>
      </w:tr>
      <w:tr>
        <w:trPr>
          <w:trHeight w:val="3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行及以上免耕穴播机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2520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行精量免耕穴播机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行精量免耕穴播机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1800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行及以上精量免耕穴播机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5220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行牵引式免耕穴播机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行；牵引式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12300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行牵引式免耕穴播机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行；牵引式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23300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行及以上牵引式免耕穴播机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行；牵引式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36500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育苗机械设备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秧盘播种成套设备（含床土处理）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200—500(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盘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/h)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秧盘播种成套设备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含铺底土、播种、洒水、覆土功能；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盘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/h)≤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盘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/h)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育苗机械设备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秧盘播种成套设备（含床土处理）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盘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/h)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及以上秧盘播种成套设备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含铺底土、播种、洒水、覆土功能；生产率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≥500(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盘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/h)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栽植机械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水稻插秧机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行手扶步进式水稻插秧机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手扶步进式；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栽植机械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水稻插秧机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行及以上手扶步进式水稻插秧机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手扶步进式；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5800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栽植机械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水稻插秧机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行及以上独轮乘坐式水稻插秧机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独轮乘坐式；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4200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20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栽植机械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水稻插秧机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行四轮乘坐式水稻插秧机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四轮乘坐式；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16800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21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栽植机械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水稻插秧机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6—7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行四轮乘坐式水稻插秧机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四轮乘坐式；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28730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栽植机械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水稻插秧机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行及以上四轮乘坐式水稻插秧机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四轮乘坐式；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38600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施肥机械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施肥机（水稻侧深施肥装置）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与独轮插秧机配套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独轮乘坐式；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施肥机械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施肥机（水稻侧深施肥装置）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与高速插秧机配套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四轮乘坐式；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中耕机械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田园管理机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4.0kW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及以上田园管理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配套功率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≥4.0kW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以下悬挂及牵引式喷杆喷雾机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；形式：悬挂式、牵引式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1080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12—18m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悬挂及牵引式喷杆喷雾机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；形式：悬挂式、牵引式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及以上悬挂及牵引式喷杆喷雾机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；形式：悬挂式、牵引式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6580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马力以下自走式喷杆喷雾机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马力；形式：自走式，四轮驱动、四轮转向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18—50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马力自走式喷杆喷雾机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马力；形式：自走式，四轮驱动、四轮转向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25650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50—100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马力自走式喷杆喷雾机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马力；形式：自走式，四轮驱动、四轮转向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28160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马力及以上自走式喷杆喷雾机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马力；形式：自走式，四轮驱动、四轮转向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；自走轮式；喂入方式：全喂入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11700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；自走轮式；喂入方式：全喂入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12900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；自走轮式；喂入方式：全喂入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5—6kg/s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；自走轮式；喂入方式：全喂入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6—7kg/s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；自走轮式；喂入方式：全喂入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35800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及以上自走轮式谷物联合收割机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≥7kg/s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；自走轮式；喂入方式：全喂入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44900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126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0.6—1kg/s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自走履带式谷物联合收割机（全喂入）；包含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1—1.5kg/s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自走履带式水稻联合收割机（全喂入）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0.6kg/s≤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1kg/s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水稻机喂入量＜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1.5kg/s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；自走履带式；喂入方式：全喂入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6300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114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1—1.5kg/s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自走履带式谷物联合收割机（全喂入）；包含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1.5—2.1kg/s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自走履带式水稻联合收割机（全喂入）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水稻机喂入量＜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2.1kg/s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；自走履带式；喂入方式：全喂入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9100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113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1.5—2.1kg/s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自走履带式谷物联合收割机（全喂入）；包含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2.1—3kg/s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自走履带式水稻联合收割机（全喂入）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2.1kg/s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2.1kg/s≤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水稻机喂入量＜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；自走履带式；喂入方式：全喂入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14800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117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2.1—3kg/s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自走履带式谷物联合收割机（全喂入）；包含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自走履带式水稻联合收割机（全喂入）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2.1kg/s≤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水稻机喂入量＜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；自走履带式；喂入方式：全喂入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96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自走履带式谷物联合收割机（全喂入）；包含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及以上自走履带式水稻联合收割机（全喂入）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；水稻机喂入量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；自走履带式；喂入方式：全喂入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85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及以上自走履带式谷物联合收割机（全喂入）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；自走履带式；喂入方式：全喂入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31300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半喂入联合收割机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马力及以上半喂入联合收割机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收获行数：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行；喂入方式：半喂入；功率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759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半喂入联合收割机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马力及以上半喂入联合收割机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行；喂入方式：半喂入；功率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85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行摘穗型自走式玉米收获机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；形式：自走式（摘穗型）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7990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rPr>
          <w:trHeight w:val="85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行摘穗型自走式玉米收获机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1.8m≤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2.4m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；形式：自走式（摘穗型）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24970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rPr>
          <w:trHeight w:val="85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行摘穗型自走式玉米收获机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2.4m≤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；形式：自走式（摘穗型）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39240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rPr>
          <w:trHeight w:val="85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行及以上摘穗型自走式玉米收获机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行及以上割台；幅宽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≥2.8m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；形式：自走式（摘穗型）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69240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rPr>
          <w:trHeight w:val="85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行摘穗剥皮型自走式玉米收获机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；形式：自走式（摘穗剥皮型）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19780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rPr>
          <w:trHeight w:val="85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行摘穗剥皮型自走式玉米收获机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1.8m≤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2.4m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；形式：自走式（摘穗剥皮型）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42300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rPr>
          <w:trHeight w:val="85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行摘穗剥皮型自走式玉米收获机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2.4m≤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；形式：自走式（摘穗剥皮型）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56200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rPr>
          <w:trHeight w:val="855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行及以上摘穗剥皮型自走式玉米收获机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行及以上割台；幅宽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≥2.8m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；形式：自走式（摘穗剥皮型）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69240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自走式玉米籽粒联合收获机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行及以下自走式玉米籽粒联合收获机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行及以下割台；幅宽＜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2.4m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18900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自走式玉米籽粒联合收获机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行自走式玉米籽粒联合收获机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2.4m≤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30600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自走式玉米籽粒联合收获机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行及以上自走式玉米籽粒联合收获机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行及以上割台；幅宽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87400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果实收获机械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辣椒收获机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辣椒收获机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自走式、工作幅宽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≥1.8m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薯类收获机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0.7—1m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分段式薯类收获机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分段收获；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0.7m≤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作业幅宽＜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580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薯类收获机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1—1.5m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分段式薯类收获机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分段收获；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作业幅宽＜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1660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薯类收获机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及以上分段式薯类收获机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分段收获；作业幅宽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≥1.5m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2660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薯类收获机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薯类联合收获机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联合收获，包含挖掘、抖土、分离、集装等功能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20830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0.8-1.5m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0.8m≤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830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及以上花生收获机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≥1.5m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含捡拾、分离、摘果、集箱等功能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自走式联合收获机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含挖掘、分离、摘果、集箱等功能。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16330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0.7—1.2m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捡拾压捆机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0.7m≤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捡拾宽度＜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1.2m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7280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1.2—1.7m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捡拾压捆机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1.2m≤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捡拾宽度＜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1.7m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1.7—2.2m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捡拾压捆机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1.7m≤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捡拾宽度＜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2.2m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34500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及以上捡拾压捆机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捡拾宽度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≥2.2m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39670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4kW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及以上圆捆压捆机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圆捆；功率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≥4kW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8740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7.5—15kW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方捆压捆机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方捆；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7.5kW≤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15kW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15kW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及以上方捆压捆机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方捆；功率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≥15kW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13700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570" w:hRule="atLeast"/>
        </w:trPr>
        <w:tc>
          <w:tcPr>
            <w:tcW w:w="7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150—160cm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悬挂甩刀式青饲料收获机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悬挂甩刀式；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4200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及以上悬挂甩刀式青饲料收获机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悬挂甩刀式；割幅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≥160cm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90—110cm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悬挂单圆盘式青饲料收获机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悬挂单圆盘式；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及以上悬挂单圆盘式青饲料收获机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悬挂单圆盘式；割幅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≥110cm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17200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90—110cm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110—210cm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17200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210—220cm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及以上悬挂双圆盘式青饲料收获机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≥220cm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32000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160—190cm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悬挂其他式青饲料收获机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悬挂其他式；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190—220cm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悬挂其他式青饲料收获机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悬挂其他式；割幅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≥190cm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及以上悬挂其他式青饲料收获机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悬挂其他式；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16020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及以上牵引式青饲料收获机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牵引式；割幅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8010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200—260cm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自走圆盘式青饲料收获机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自走圆盘式；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53100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及以上自走圆盘式青饲料收获机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自走圆盘式；割幅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≥260cm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108000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180—220cm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220—260cm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54900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260—290cm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290cm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86500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290cm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及以上自走其他式青饲料收获机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≥290cm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129600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茎秆收集处理机械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1—1.5m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作业幅宽＜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茎秆收集处理机械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1.5—2m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作业幅宽＜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茎秆收集处理机械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2—2.5m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作业幅宽＜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2.5m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茎秆收集处理机械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及以上秸秆粉碎还田机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作业幅宽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≥2.5m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2250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脱粒机械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花生摘果机，配套动力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3-7kW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3kW≤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配套动力＜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7kW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脱粒机械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花生摘果机，配套动力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7-11kW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7kW≤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配套动力＜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11kW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脱粒机械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花生摘果机，配套动力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11kW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花生摘果机，配套动力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≥11kW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5t/h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5—15t/h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15t/h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15—25t/h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25t/h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及以上粮食清选机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≥25t/h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普通光电大米色选机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应用传统光电探测器技术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单元以下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图像传感器大米色选机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色选机执行单元数＜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；应用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图像传感器技术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单元及以上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图像传感器大米色选机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色选机执行单元数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；应用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图像传感器技术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单元以下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图像传感器杂粮色选机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色选机执行单元数＜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；应用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图像传感器技术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单元及以上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图像传感器杂粮色选机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色选机执行单元数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；应用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图像传感器技术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4—10t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循环式谷物烘干机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；循环式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17900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10—20t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循环式谷物烘干机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；循环式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28820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20—30t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循环式谷物烘干机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；循环式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31950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及以上循环式谷物烘干机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；循环式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69900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50t/d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以下连续式谷物烘干机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50t/d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；连续式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23700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50—100t/d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连续式谷物烘干机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50t/d≤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100t/d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；连续式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35100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100t/d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及以上连续式谷物烘干机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≥100t/d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；连续式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116200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3—5t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平床式谷物烘干机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装载量＜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；平床式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及以上平床式谷物烘干机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装载量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≥5t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；平床式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7200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60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容积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5m³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以下果蔬烘干机（整体脱水）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容积＜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5m³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；整体脱水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60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容积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5—15m³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果蔬烘干机（整体脱水）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5m³≤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容积＜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15m³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；整体脱水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60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容积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15m³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及以上果蔬烘干机（整体脱水）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容积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≥15m³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；整体脱水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以下果蔬烘干机（表面烘干）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；表面烘干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840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1—5t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果蔬烘干机（表面烘干）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；表面烘干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5—10t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果蔬烘干机（表面烘干）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；表面烘干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5600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10—20t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果蔬烘干机（表面烘干）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；表面烘干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农产品初加工机械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果蔬加工机械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蔬菜清洗机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毛刷辊长度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及以上蔬菜清洗机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毛刷辊长度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蔬菜清洗机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农产品初加工机械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剥壳（去皮）机械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1t/h-1.5t/h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660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农产品初加工机械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剥壳（去皮）机械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1.5t/h-3t/h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花生脱壳机（含自动上料设备）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农产品初加工机械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剥壳（去皮）机械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以上花生脱壳机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（含自动上料、除杂设备）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3750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农产品初加工机械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剥壳（去皮）机械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干坚果脱壳机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松子脱壳机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松子脱壳机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农产品初加工机械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剥壳（去皮）机械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干坚果脱壳机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榛子脱壳机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榛子脱壳机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排灌机械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以下卷盘式喷灌机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卷盘式；管径＜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65mm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3870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排灌机械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65—75mm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卷盘式喷灌机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卷盘式；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65mm≤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管径＜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75mm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8820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排灌机械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75—85mm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卷盘式喷灌机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卷盘式；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75mm≤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管径＜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85mm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9720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排灌机械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85mm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及以上卷盘式喷灌机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卷盘式；管径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≥85mm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排灌机械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大型喷灌机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中心支轴式喷灌机或者平移式喷灌机（每跨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≥50m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跨（上限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万）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2—4t/h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4—6t/h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6—10t/h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10—15t/h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2310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及以上揉丝机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≥15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草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)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粉碎机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400—550mm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饲料粉碎机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400mm≤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转子直径＜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550mm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草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)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粉碎机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550mm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及以上饲料粉碎机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转子直径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≥550mm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颗粒饲料压制机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平模颗粒饲料压制机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平模直径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≥200mm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颗粒饲料压制机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环模直径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200—250mm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颗粒饲料压制机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200mm≤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环模直径＜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，电机功率＜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17kW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颗粒饲料压制机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环模直径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及以上颗粒饲料压制机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环模直径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≥250mm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，电机功率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≥17kW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秸秆膨化机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入口螺杆直径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≥120mm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及以上的秸秆膨化机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≥1000kg/h;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入口螺杆直径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≥120mm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饲养机械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喂料机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螺旋喂料机输送长度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及以下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含料塔，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输送长度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≤50m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31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饲养机械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清粪机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牵引刮板式清粪机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牵引刮板式清粪机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31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饲养机械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粪污固液分离机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污粪固液分离机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污粪固液分离机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残膜回收机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扒齿搂膜式或其他残膜回收机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1m-3m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机引式，工作方式：扒齿搂膜式或其他式，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≤3m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残膜回收机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拔杆式残膜回收机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1.4m-2m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工作方式：拔杆起膜式，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1.4m≤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残膜回收机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拔杆式残膜回收机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　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工作方式：拔杆起膜，工作幅宽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残膜回收机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带秸秆粉碎功能残膜回收机，工作幅宽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≥1.8m;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带秸秆粉碎功能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秸秆压块（粒、棒）机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0.5-1t/h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压块机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0.5t/h≤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1t/h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秸秆压块（粒、棒）机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1-2t/h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压块机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2t/h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281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秸秆压块（粒、棒）机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及以上压块机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≥2t/h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病死畜禽无害化处理设备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病死畜禽无害化处理设备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500kg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500kg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以下，配备切割、加热、尾气处理装置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病死畜禽无害化处理设备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病死畜禽无害化处理设备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500kg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500kg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及以上，配备切割、加热、尾气处理装置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农田基本建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br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设机械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平地机械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平地机（含激光平地机）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2-3m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激光平地机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3m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7600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农田基本建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br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设机械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平地机械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平地机（含激光平地机）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及以上激光平地机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≥3m 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11210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30—40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5520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40—50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8280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50—60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60—70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13800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70—80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18450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80—90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20160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90—100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22700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马力及以上两轮驱动拖拉机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24300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30—40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10120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40—50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12750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50—60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16330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60—70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18300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70—80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22030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80—90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22030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90—100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31210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100—120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31210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120—140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46500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140—160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59540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160—180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71440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180—200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74290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马力及以上四轮驱动拖拉机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127630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40—50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50—60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60—70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70—80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36700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80—90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36700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90—100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42000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100—110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110—120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120—130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53500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130—140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56000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140—150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66000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150—160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66000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105000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570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马力及以上轻型履带式拖拉机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马力；驱动方式：履带式；橡胶履带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14400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855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其他机械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其他机械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农业用北斗终端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电动方向盘，直线精度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±10cm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的北斗导航辅助驾驶系统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电动方向盘，北斗导航辅助驾驶系统，直线精度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±10cm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gridBefore w:val="1"/>
          <w:wBefore w:w="108" w:type="dxa"/>
          <w:trHeight w:val="139" w:hRule="atLeast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其他机械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其他机械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农业用北斗终端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液压控制转向机，直线精度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±2.5cm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的北斗导航自动驾驶系统</w:t>
            </w:r>
          </w:p>
        </w:tc>
        <w:tc>
          <w:tcPr>
            <w:tcW w:w="445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液压控制转向机，北斗导航自动驾驶系统，直线精度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±2.5cm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20000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spacing w:line="600" w:lineRule="exact"/>
        <w:jc w:val="center"/>
        <w:rPr>
          <w:rFonts w:ascii="Times New Roman" w:hAnsi="Times New Roman" w:eastAsia="方正小标宋简体" w:cs="Times New Roman"/>
          <w:b/>
          <w:kern w:val="0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仿宋"/>
          <w:szCs w:val="21"/>
        </w:rPr>
      </w:pPr>
    </w:p>
    <w:sectPr>
      <w:footerReference r:id="rId4" w:type="default"/>
      <w:pgSz w:w="16838" w:h="11906" w:orient="landscape"/>
      <w:pgMar w:top="1157" w:right="1080" w:bottom="1157" w:left="969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altName w:val="Lucida Sans Unicode"/>
    <w:panose1 w:val="020F0502020204030204"/>
    <w:charset w:val="00"/>
    <w:family w:val="auto"/>
    <w:pitch w:val="default"/>
    <w:sig w:usb0="E10002FF" w:usb1="4000ACFF" w:usb2="00000009" w:usb3="00000000" w:csb0="0000019F" w:csb1="00000000"/>
  </w:font>
  <w:font w:name="Tw Cen MT">
    <w:altName w:val="Courier New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华文仿宋">
    <w:altName w:val="仿宋_GB2312"/>
    <w:panose1 w:val="00000000000000000000"/>
    <w:charset w:val="86"/>
    <w:family w:val="auto"/>
    <w:pitch w:val="default"/>
    <w:sig w:usb0="00000287" w:usb1="080E0000" w:usb2="00000010" w:usb3="00000000" w:csb0="0004009F" w:csb1="00000000"/>
  </w:font>
  <w:font w:name="方正小标宋_GBK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287" w:usb1="080E0000" w:usb2="00000010" w:usb3="00000000" w:csb0="0004009F" w:csb1="00000000"/>
  </w:font>
  <w:font w:name="方正小标宋简体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54</w:t>
    </w:r>
    <w:r>
      <w:fldChar w:fldCharType="end"/>
    </w: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99" w:semiHidden="0" w:name="Title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99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9"/>
    <w:pPr>
      <w:widowControl/>
      <w:spacing w:before="480" w:line="600" w:lineRule="exact"/>
      <w:contextualSpacing/>
      <w:jc w:val="left"/>
      <w:outlineLvl w:val="0"/>
    </w:pPr>
    <w:rPr>
      <w:rFonts w:ascii="Tw Cen MT" w:hAnsi="Tw Cen MT" w:eastAsia="华文仿宋" w:cs="Times New Roman"/>
      <w:b/>
      <w:bCs/>
      <w:kern w:val="0"/>
      <w:sz w:val="28"/>
      <w:szCs w:val="28"/>
      <w:lang w:eastAsia="en-US"/>
    </w:rPr>
  </w:style>
  <w:style w:type="paragraph" w:styleId="3">
    <w:name w:val="heading 2"/>
    <w:basedOn w:val="1"/>
    <w:next w:val="1"/>
    <w:link w:val="24"/>
    <w:qFormat/>
    <w:uiPriority w:val="99"/>
    <w:pPr>
      <w:widowControl/>
      <w:spacing w:before="200" w:line="600" w:lineRule="exact"/>
      <w:jc w:val="left"/>
      <w:outlineLvl w:val="1"/>
    </w:pPr>
    <w:rPr>
      <w:rFonts w:ascii="Tw Cen MT" w:hAnsi="Tw Cen MT" w:eastAsia="华文仿宋" w:cs="Times New Roman"/>
      <w:b/>
      <w:bCs/>
      <w:kern w:val="0"/>
      <w:sz w:val="26"/>
      <w:szCs w:val="26"/>
      <w:lang w:eastAsia="en-US"/>
    </w:rPr>
  </w:style>
  <w:style w:type="paragraph" w:styleId="4">
    <w:name w:val="heading 3"/>
    <w:basedOn w:val="1"/>
    <w:next w:val="1"/>
    <w:link w:val="25"/>
    <w:qFormat/>
    <w:uiPriority w:val="99"/>
    <w:pPr>
      <w:widowControl/>
      <w:spacing w:before="200" w:line="271" w:lineRule="auto"/>
      <w:jc w:val="left"/>
      <w:outlineLvl w:val="2"/>
    </w:pPr>
    <w:rPr>
      <w:rFonts w:ascii="Tw Cen MT" w:hAnsi="Tw Cen MT" w:eastAsia="华文仿宋" w:cs="Times New Roman"/>
      <w:b/>
      <w:bCs/>
      <w:kern w:val="0"/>
      <w:sz w:val="22"/>
      <w:lang w:eastAsia="en-US"/>
    </w:rPr>
  </w:style>
  <w:style w:type="paragraph" w:styleId="5">
    <w:name w:val="heading 4"/>
    <w:basedOn w:val="1"/>
    <w:next w:val="1"/>
    <w:link w:val="26"/>
    <w:qFormat/>
    <w:uiPriority w:val="99"/>
    <w:pPr>
      <w:widowControl/>
      <w:spacing w:before="200" w:line="600" w:lineRule="exact"/>
      <w:jc w:val="left"/>
      <w:outlineLvl w:val="3"/>
    </w:pPr>
    <w:rPr>
      <w:rFonts w:ascii="Tw Cen MT" w:hAnsi="Tw Cen MT" w:eastAsia="华文仿宋" w:cs="Times New Roman"/>
      <w:b/>
      <w:bCs/>
      <w:i/>
      <w:iCs/>
      <w:kern w:val="0"/>
      <w:sz w:val="22"/>
      <w:lang w:eastAsia="en-US"/>
    </w:rPr>
  </w:style>
  <w:style w:type="paragraph" w:styleId="6">
    <w:name w:val="heading 5"/>
    <w:basedOn w:val="1"/>
    <w:next w:val="1"/>
    <w:link w:val="27"/>
    <w:qFormat/>
    <w:uiPriority w:val="99"/>
    <w:pPr>
      <w:widowControl/>
      <w:spacing w:before="200" w:line="600" w:lineRule="exact"/>
      <w:jc w:val="left"/>
      <w:outlineLvl w:val="4"/>
    </w:pPr>
    <w:rPr>
      <w:rFonts w:ascii="Tw Cen MT" w:hAnsi="Tw Cen MT" w:eastAsia="华文仿宋" w:cs="Times New Roman"/>
      <w:b/>
      <w:bCs/>
      <w:color w:val="7F7F7F"/>
      <w:kern w:val="0"/>
      <w:sz w:val="22"/>
      <w:lang w:eastAsia="en-US"/>
    </w:rPr>
  </w:style>
  <w:style w:type="paragraph" w:styleId="7">
    <w:name w:val="heading 6"/>
    <w:basedOn w:val="1"/>
    <w:next w:val="1"/>
    <w:link w:val="28"/>
    <w:qFormat/>
    <w:uiPriority w:val="99"/>
    <w:pPr>
      <w:widowControl/>
      <w:spacing w:line="271" w:lineRule="auto"/>
      <w:jc w:val="left"/>
      <w:outlineLvl w:val="5"/>
    </w:pPr>
    <w:rPr>
      <w:rFonts w:ascii="Tw Cen MT" w:hAnsi="Tw Cen MT" w:eastAsia="华文仿宋" w:cs="Times New Roman"/>
      <w:b/>
      <w:bCs/>
      <w:i/>
      <w:iCs/>
      <w:color w:val="7F7F7F"/>
      <w:kern w:val="0"/>
      <w:sz w:val="22"/>
      <w:lang w:eastAsia="en-US"/>
    </w:rPr>
  </w:style>
  <w:style w:type="paragraph" w:styleId="8">
    <w:name w:val="heading 7"/>
    <w:basedOn w:val="1"/>
    <w:next w:val="1"/>
    <w:link w:val="29"/>
    <w:qFormat/>
    <w:uiPriority w:val="99"/>
    <w:pPr>
      <w:widowControl/>
      <w:spacing w:line="600" w:lineRule="exact"/>
      <w:jc w:val="left"/>
      <w:outlineLvl w:val="6"/>
    </w:pPr>
    <w:rPr>
      <w:rFonts w:ascii="Tw Cen MT" w:hAnsi="Tw Cen MT" w:eastAsia="华文仿宋" w:cs="Times New Roman"/>
      <w:i/>
      <w:iCs/>
      <w:kern w:val="0"/>
      <w:sz w:val="22"/>
      <w:lang w:eastAsia="en-US"/>
    </w:rPr>
  </w:style>
  <w:style w:type="paragraph" w:styleId="9">
    <w:name w:val="heading 8"/>
    <w:basedOn w:val="1"/>
    <w:next w:val="1"/>
    <w:link w:val="30"/>
    <w:qFormat/>
    <w:uiPriority w:val="99"/>
    <w:pPr>
      <w:widowControl/>
      <w:spacing w:line="600" w:lineRule="exact"/>
      <w:jc w:val="left"/>
      <w:outlineLvl w:val="7"/>
    </w:pPr>
    <w:rPr>
      <w:rFonts w:ascii="Tw Cen MT" w:hAnsi="Tw Cen MT" w:eastAsia="华文仿宋" w:cs="Times New Roman"/>
      <w:kern w:val="0"/>
      <w:sz w:val="20"/>
      <w:szCs w:val="20"/>
      <w:lang w:eastAsia="en-US"/>
    </w:rPr>
  </w:style>
  <w:style w:type="paragraph" w:styleId="10">
    <w:name w:val="heading 9"/>
    <w:basedOn w:val="1"/>
    <w:next w:val="1"/>
    <w:link w:val="31"/>
    <w:qFormat/>
    <w:uiPriority w:val="99"/>
    <w:pPr>
      <w:widowControl/>
      <w:spacing w:line="600" w:lineRule="exact"/>
      <w:jc w:val="left"/>
      <w:outlineLvl w:val="8"/>
    </w:pPr>
    <w:rPr>
      <w:rFonts w:ascii="Tw Cen MT" w:hAnsi="Tw Cen MT" w:eastAsia="华文仿宋" w:cs="Times New Roman"/>
      <w:i/>
      <w:iCs/>
      <w:spacing w:val="5"/>
      <w:kern w:val="0"/>
      <w:sz w:val="20"/>
      <w:szCs w:val="20"/>
      <w:lang w:eastAsia="en-US"/>
    </w:rPr>
  </w:style>
  <w:style w:type="character" w:default="1" w:styleId="15">
    <w:name w:val="Default Paragraph Font"/>
    <w:semiHidden/>
    <w:uiPriority w:val="99"/>
  </w:style>
  <w:style w:type="paragraph" w:styleId="11">
    <w:name w:val="footer"/>
    <w:basedOn w:val="1"/>
    <w:link w:val="3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3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4"/>
    <w:qFormat/>
    <w:uiPriority w:val="99"/>
    <w:pPr>
      <w:widowControl/>
      <w:spacing w:after="600" w:line="600" w:lineRule="exact"/>
      <w:jc w:val="left"/>
    </w:pPr>
    <w:rPr>
      <w:rFonts w:ascii="Tw Cen MT" w:hAnsi="Tw Cen MT" w:eastAsia="华文仿宋" w:cs="Times New Roman"/>
      <w:i/>
      <w:iCs/>
      <w:spacing w:val="13"/>
      <w:kern w:val="0"/>
      <w:sz w:val="24"/>
      <w:szCs w:val="24"/>
      <w:lang w:eastAsia="en-US"/>
    </w:rPr>
  </w:style>
  <w:style w:type="paragraph" w:styleId="14">
    <w:name w:val="Title"/>
    <w:basedOn w:val="1"/>
    <w:next w:val="1"/>
    <w:link w:val="35"/>
    <w:qFormat/>
    <w:uiPriority w:val="99"/>
    <w:pPr>
      <w:widowControl/>
      <w:pBdr>
        <w:bottom w:val="single" w:color="auto" w:sz="4" w:space="1"/>
      </w:pBdr>
      <w:spacing w:after="200"/>
      <w:contextualSpacing/>
      <w:jc w:val="left"/>
    </w:pPr>
    <w:rPr>
      <w:rFonts w:ascii="Tw Cen MT" w:hAnsi="Tw Cen MT" w:eastAsia="华文仿宋" w:cs="Times New Roman"/>
      <w:spacing w:val="5"/>
      <w:kern w:val="0"/>
      <w:sz w:val="52"/>
      <w:szCs w:val="52"/>
      <w:lang w:eastAsia="en-US"/>
    </w:rPr>
  </w:style>
  <w:style w:type="character" w:styleId="16">
    <w:name w:val="Strong"/>
    <w:basedOn w:val="15"/>
    <w:qFormat/>
    <w:uiPriority w:val="99"/>
    <w:rPr>
      <w:rFonts w:cs="Times New Roman"/>
      <w:b/>
    </w:rPr>
  </w:style>
  <w:style w:type="character" w:styleId="17">
    <w:name w:val="Emphasis"/>
    <w:basedOn w:val="15"/>
    <w:qFormat/>
    <w:uiPriority w:val="99"/>
    <w:rPr>
      <w:rFonts w:cs="Times New Roman"/>
      <w:b/>
      <w:i/>
      <w:spacing w:val="10"/>
      <w:shd w:val="clear" w:color="auto" w:fill="auto"/>
    </w:rPr>
  </w:style>
  <w:style w:type="paragraph" w:customStyle="1" w:styleId="18">
    <w:name w:val="无间隔1"/>
    <w:basedOn w:val="1"/>
    <w:link w:val="36"/>
    <w:uiPriority w:val="99"/>
    <w:pPr>
      <w:widowControl/>
      <w:jc w:val="left"/>
    </w:pPr>
    <w:rPr>
      <w:rFonts w:ascii="Tw Cen MT" w:hAnsi="Tw Cen MT" w:eastAsia="华文仿宋" w:cs="Times New Roman"/>
      <w:kern w:val="0"/>
      <w:sz w:val="22"/>
      <w:lang w:eastAsia="en-US"/>
    </w:rPr>
  </w:style>
  <w:style w:type="paragraph" w:customStyle="1" w:styleId="19">
    <w:name w:val="列出段落1"/>
    <w:basedOn w:val="1"/>
    <w:uiPriority w:val="99"/>
    <w:pPr>
      <w:widowControl/>
      <w:spacing w:after="200" w:line="600" w:lineRule="exact"/>
      <w:ind w:left="720"/>
      <w:contextualSpacing/>
      <w:jc w:val="left"/>
    </w:pPr>
    <w:rPr>
      <w:rFonts w:ascii="Tw Cen MT" w:hAnsi="Tw Cen MT" w:eastAsia="华文仿宋" w:cs="Times New Roman"/>
      <w:kern w:val="0"/>
      <w:sz w:val="22"/>
      <w:lang w:eastAsia="en-US"/>
    </w:rPr>
  </w:style>
  <w:style w:type="paragraph" w:customStyle="1" w:styleId="20">
    <w:name w:val="引用1"/>
    <w:basedOn w:val="1"/>
    <w:next w:val="1"/>
    <w:link w:val="37"/>
    <w:uiPriority w:val="99"/>
    <w:pPr>
      <w:widowControl/>
      <w:spacing w:before="200" w:line="600" w:lineRule="exact"/>
      <w:ind w:left="360" w:right="360"/>
      <w:jc w:val="left"/>
    </w:pPr>
    <w:rPr>
      <w:rFonts w:ascii="Tw Cen MT" w:hAnsi="Tw Cen MT" w:eastAsia="华文仿宋" w:cs="Times New Roman"/>
      <w:i/>
      <w:iCs/>
      <w:kern w:val="0"/>
      <w:sz w:val="22"/>
      <w:lang w:eastAsia="en-US"/>
    </w:rPr>
  </w:style>
  <w:style w:type="paragraph" w:customStyle="1" w:styleId="21">
    <w:name w:val="明显引用1"/>
    <w:basedOn w:val="1"/>
    <w:next w:val="1"/>
    <w:link w:val="38"/>
    <w:uiPriority w:val="99"/>
    <w:pPr>
      <w:widowControl/>
      <w:pBdr>
        <w:bottom w:val="single" w:color="auto" w:sz="4" w:space="1"/>
      </w:pBdr>
      <w:spacing w:before="200" w:after="280" w:line="600" w:lineRule="exact"/>
      <w:ind w:left="1008" w:right="1152"/>
    </w:pPr>
    <w:rPr>
      <w:rFonts w:ascii="Tw Cen MT" w:hAnsi="Tw Cen MT" w:eastAsia="华文仿宋" w:cs="Times New Roman"/>
      <w:b/>
      <w:bCs/>
      <w:i/>
      <w:iCs/>
      <w:kern w:val="0"/>
      <w:sz w:val="22"/>
      <w:lang w:eastAsia="en-US"/>
    </w:rPr>
  </w:style>
  <w:style w:type="paragraph" w:customStyle="1" w:styleId="22">
    <w:name w:val="TOC 标题1"/>
    <w:basedOn w:val="2"/>
    <w:next w:val="1"/>
    <w:semiHidden/>
    <w:uiPriority w:val="99"/>
    <w:pPr>
      <w:outlineLvl w:val="9"/>
    </w:pPr>
  </w:style>
  <w:style w:type="character" w:customStyle="1" w:styleId="23">
    <w:name w:val="Heading 1 Char"/>
    <w:basedOn w:val="15"/>
    <w:link w:val="2"/>
    <w:uiPriority w:val="99"/>
    <w:rPr>
      <w:rFonts w:ascii="Tw Cen MT" w:hAnsi="Tw Cen MT" w:eastAsia="华文仿宋" w:cs="Times New Roman"/>
      <w:b/>
      <w:bCs/>
      <w:kern w:val="0"/>
      <w:sz w:val="28"/>
      <w:szCs w:val="28"/>
      <w:lang w:eastAsia="en-US"/>
    </w:rPr>
  </w:style>
  <w:style w:type="character" w:customStyle="1" w:styleId="24">
    <w:name w:val="Heading 2 Char"/>
    <w:basedOn w:val="15"/>
    <w:link w:val="3"/>
    <w:uiPriority w:val="99"/>
    <w:rPr>
      <w:rFonts w:ascii="Tw Cen MT" w:hAnsi="Tw Cen MT" w:eastAsia="华文仿宋" w:cs="Times New Roman"/>
      <w:b/>
      <w:bCs/>
      <w:kern w:val="0"/>
      <w:sz w:val="26"/>
      <w:szCs w:val="26"/>
      <w:lang w:eastAsia="en-US"/>
    </w:rPr>
  </w:style>
  <w:style w:type="character" w:customStyle="1" w:styleId="25">
    <w:name w:val="Heading 3 Char"/>
    <w:basedOn w:val="15"/>
    <w:link w:val="4"/>
    <w:uiPriority w:val="99"/>
    <w:rPr>
      <w:rFonts w:ascii="Tw Cen MT" w:hAnsi="Tw Cen MT" w:eastAsia="华文仿宋" w:cs="Times New Roman"/>
      <w:b/>
      <w:bCs/>
      <w:kern w:val="0"/>
      <w:sz w:val="22"/>
      <w:lang w:eastAsia="en-US"/>
    </w:rPr>
  </w:style>
  <w:style w:type="character" w:customStyle="1" w:styleId="26">
    <w:name w:val="Heading 4 Char"/>
    <w:basedOn w:val="15"/>
    <w:link w:val="5"/>
    <w:uiPriority w:val="99"/>
    <w:rPr>
      <w:rFonts w:ascii="Tw Cen MT" w:hAnsi="Tw Cen MT" w:eastAsia="华文仿宋" w:cs="Times New Roman"/>
      <w:b/>
      <w:bCs/>
      <w:i/>
      <w:iCs/>
      <w:kern w:val="0"/>
      <w:sz w:val="22"/>
      <w:lang w:eastAsia="en-US"/>
    </w:rPr>
  </w:style>
  <w:style w:type="character" w:customStyle="1" w:styleId="27">
    <w:name w:val="Heading 5 Char"/>
    <w:basedOn w:val="15"/>
    <w:link w:val="6"/>
    <w:uiPriority w:val="99"/>
    <w:rPr>
      <w:rFonts w:ascii="Tw Cen MT" w:hAnsi="Tw Cen MT" w:eastAsia="华文仿宋" w:cs="Times New Roman"/>
      <w:b/>
      <w:bCs/>
      <w:color w:val="7F7F7F"/>
      <w:kern w:val="0"/>
      <w:sz w:val="22"/>
      <w:lang w:eastAsia="en-US"/>
    </w:rPr>
  </w:style>
  <w:style w:type="character" w:customStyle="1" w:styleId="28">
    <w:name w:val="Heading 6 Char"/>
    <w:basedOn w:val="15"/>
    <w:link w:val="7"/>
    <w:uiPriority w:val="99"/>
    <w:rPr>
      <w:rFonts w:ascii="Tw Cen MT" w:hAnsi="Tw Cen MT" w:eastAsia="华文仿宋" w:cs="Times New Roman"/>
      <w:b/>
      <w:bCs/>
      <w:i/>
      <w:iCs/>
      <w:color w:val="7F7F7F"/>
      <w:kern w:val="0"/>
      <w:sz w:val="22"/>
      <w:lang w:eastAsia="en-US"/>
    </w:rPr>
  </w:style>
  <w:style w:type="character" w:customStyle="1" w:styleId="29">
    <w:name w:val="Heading 7 Char"/>
    <w:basedOn w:val="15"/>
    <w:link w:val="8"/>
    <w:uiPriority w:val="99"/>
    <w:rPr>
      <w:rFonts w:ascii="Tw Cen MT" w:hAnsi="Tw Cen MT" w:eastAsia="华文仿宋" w:cs="Times New Roman"/>
      <w:i/>
      <w:iCs/>
      <w:kern w:val="0"/>
      <w:sz w:val="22"/>
      <w:lang w:eastAsia="en-US"/>
    </w:rPr>
  </w:style>
  <w:style w:type="character" w:customStyle="1" w:styleId="30">
    <w:name w:val="Heading 8 Char"/>
    <w:basedOn w:val="15"/>
    <w:link w:val="9"/>
    <w:uiPriority w:val="99"/>
    <w:rPr>
      <w:rFonts w:ascii="Tw Cen MT" w:hAnsi="Tw Cen MT" w:eastAsia="华文仿宋" w:cs="Times New Roman"/>
      <w:kern w:val="0"/>
      <w:sz w:val="20"/>
      <w:szCs w:val="20"/>
      <w:lang w:eastAsia="en-US"/>
    </w:rPr>
  </w:style>
  <w:style w:type="character" w:customStyle="1" w:styleId="31">
    <w:name w:val="Heading 9 Char"/>
    <w:basedOn w:val="15"/>
    <w:link w:val="10"/>
    <w:uiPriority w:val="99"/>
    <w:rPr>
      <w:rFonts w:ascii="Tw Cen MT" w:hAnsi="Tw Cen MT" w:eastAsia="华文仿宋" w:cs="Times New Roman"/>
      <w:i/>
      <w:iCs/>
      <w:spacing w:val="5"/>
      <w:kern w:val="0"/>
      <w:sz w:val="20"/>
      <w:szCs w:val="20"/>
      <w:lang w:eastAsia="en-US"/>
    </w:rPr>
  </w:style>
  <w:style w:type="character" w:customStyle="1" w:styleId="32">
    <w:name w:val="Footer Char"/>
    <w:basedOn w:val="15"/>
    <w:link w:val="11"/>
    <w:uiPriority w:val="99"/>
    <w:rPr>
      <w:rFonts w:cs="Times New Roman"/>
      <w:sz w:val="18"/>
      <w:szCs w:val="18"/>
    </w:rPr>
  </w:style>
  <w:style w:type="character" w:customStyle="1" w:styleId="33">
    <w:name w:val="Header Char"/>
    <w:basedOn w:val="15"/>
    <w:link w:val="12"/>
    <w:uiPriority w:val="99"/>
    <w:rPr>
      <w:rFonts w:cs="Times New Roman"/>
      <w:sz w:val="18"/>
      <w:szCs w:val="18"/>
    </w:rPr>
  </w:style>
  <w:style w:type="character" w:customStyle="1" w:styleId="34">
    <w:name w:val="Subtitle Char Char"/>
    <w:basedOn w:val="15"/>
    <w:link w:val="13"/>
    <w:uiPriority w:val="99"/>
    <w:rPr>
      <w:rFonts w:ascii="Tw Cen MT" w:hAnsi="Tw Cen MT" w:eastAsia="华文仿宋" w:cs="Times New Roman"/>
      <w:i/>
      <w:iCs/>
      <w:spacing w:val="13"/>
      <w:kern w:val="0"/>
      <w:sz w:val="24"/>
      <w:szCs w:val="24"/>
      <w:lang w:eastAsia="en-US"/>
    </w:rPr>
  </w:style>
  <w:style w:type="character" w:customStyle="1" w:styleId="35">
    <w:name w:val="Title Char Char"/>
    <w:basedOn w:val="15"/>
    <w:link w:val="14"/>
    <w:uiPriority w:val="99"/>
    <w:rPr>
      <w:rFonts w:ascii="Tw Cen MT" w:hAnsi="Tw Cen MT" w:eastAsia="华文仿宋" w:cs="Times New Roman"/>
      <w:spacing w:val="5"/>
      <w:kern w:val="0"/>
      <w:sz w:val="52"/>
      <w:szCs w:val="52"/>
      <w:lang w:eastAsia="en-US"/>
    </w:rPr>
  </w:style>
  <w:style w:type="character" w:customStyle="1" w:styleId="36">
    <w:name w:val="无间隔 Char"/>
    <w:basedOn w:val="15"/>
    <w:link w:val="18"/>
    <w:locked/>
    <w:uiPriority w:val="99"/>
    <w:rPr>
      <w:rFonts w:ascii="Tw Cen MT" w:hAnsi="Tw Cen MT" w:eastAsia="华文仿宋" w:cs="Times New Roman"/>
      <w:kern w:val="0"/>
      <w:sz w:val="22"/>
      <w:lang w:eastAsia="en-US"/>
    </w:rPr>
  </w:style>
  <w:style w:type="character" w:customStyle="1" w:styleId="37">
    <w:name w:val="引用 Char"/>
    <w:basedOn w:val="15"/>
    <w:link w:val="20"/>
    <w:locked/>
    <w:uiPriority w:val="99"/>
    <w:rPr>
      <w:rFonts w:ascii="Tw Cen MT" w:hAnsi="Tw Cen MT" w:eastAsia="华文仿宋" w:cs="Times New Roman"/>
      <w:i/>
      <w:iCs/>
      <w:kern w:val="0"/>
      <w:sz w:val="22"/>
      <w:lang w:eastAsia="en-US"/>
    </w:rPr>
  </w:style>
  <w:style w:type="character" w:customStyle="1" w:styleId="38">
    <w:name w:val="明显引用 Char"/>
    <w:basedOn w:val="15"/>
    <w:link w:val="21"/>
    <w:locked/>
    <w:uiPriority w:val="99"/>
    <w:rPr>
      <w:rFonts w:ascii="Tw Cen MT" w:hAnsi="Tw Cen MT" w:eastAsia="华文仿宋" w:cs="Times New Roman"/>
      <w:b/>
      <w:bCs/>
      <w:i/>
      <w:iCs/>
      <w:kern w:val="0"/>
      <w:sz w:val="22"/>
      <w:lang w:eastAsia="en-US"/>
    </w:rPr>
  </w:style>
  <w:style w:type="character" w:customStyle="1" w:styleId="39">
    <w:name w:val="不明显强调1"/>
    <w:uiPriority w:val="99"/>
    <w:rPr>
      <w:i/>
    </w:rPr>
  </w:style>
  <w:style w:type="character" w:customStyle="1" w:styleId="40">
    <w:name w:val="明显强调1"/>
    <w:uiPriority w:val="99"/>
    <w:rPr>
      <w:b/>
    </w:rPr>
  </w:style>
  <w:style w:type="character" w:customStyle="1" w:styleId="41">
    <w:name w:val="不明显参考1"/>
    <w:uiPriority w:val="99"/>
    <w:rPr>
      <w:smallCaps/>
    </w:rPr>
  </w:style>
  <w:style w:type="character" w:customStyle="1" w:styleId="42">
    <w:name w:val="明显参考1"/>
    <w:uiPriority w:val="99"/>
    <w:rPr>
      <w:smallCaps/>
      <w:spacing w:val="5"/>
      <w:u w:val="single"/>
    </w:rPr>
  </w:style>
  <w:style w:type="character" w:customStyle="1" w:styleId="43">
    <w:name w:val="书籍标题1"/>
    <w:uiPriority w:val="99"/>
    <w:rPr>
      <w:i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54</Pages>
  <Words>3678</Words>
  <Characters>20966</Characters>
  <Lines>0</Lines>
  <Paragraphs>0</Paragraphs>
  <TotalTime>0</TotalTime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2018-05-30T04:17:00Z</dcterms:created>
  <dc:creator>微软用户</dc:creator>
  <cp:lastModifiedBy>Administrator</cp:lastModifiedBy>
  <cp:lastPrinted>2018-05-30T03:58:00Z</cp:lastPrinted>
  <dcterms:modified xsi:type="dcterms:W3CDTF">2018-08-22T01:03:34Z</dcterms:modified>
  <dc:title>吉林省农业委员会 吉林省财政厅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