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E14" w:rsidRPr="00073FF7" w:rsidRDefault="00F56E14" w:rsidP="00F56E14">
      <w:pPr>
        <w:spacing w:line="600" w:lineRule="exact"/>
        <w:rPr>
          <w:rFonts w:ascii="仿宋" w:eastAsia="仿宋" w:hAnsi="仿宋" w:cs="仿宋"/>
          <w:b/>
          <w:sz w:val="32"/>
          <w:szCs w:val="32"/>
        </w:rPr>
      </w:pPr>
      <w:r w:rsidRPr="00073FF7">
        <w:rPr>
          <w:rFonts w:ascii="仿宋" w:eastAsia="仿宋" w:hAnsi="仿宋" w:cs="仿宋" w:hint="eastAsia"/>
          <w:b/>
          <w:sz w:val="32"/>
          <w:szCs w:val="32"/>
        </w:rPr>
        <w:t>附件</w:t>
      </w:r>
      <w:r w:rsidRPr="00073FF7">
        <w:rPr>
          <w:rFonts w:ascii="仿宋" w:eastAsia="仿宋" w:hAnsi="仿宋" w:cs="仿宋"/>
          <w:b/>
          <w:sz w:val="32"/>
          <w:szCs w:val="32"/>
        </w:rPr>
        <w:t>4</w:t>
      </w:r>
      <w:r>
        <w:rPr>
          <w:rFonts w:ascii="仿宋" w:eastAsia="仿宋" w:hAnsi="仿宋" w:cs="仿宋" w:hint="eastAsia"/>
          <w:b/>
          <w:sz w:val="32"/>
          <w:szCs w:val="32"/>
        </w:rPr>
        <w:t>：</w:t>
      </w:r>
    </w:p>
    <w:p w:rsidR="00F56E14" w:rsidRPr="00173D3F" w:rsidRDefault="00F56E14" w:rsidP="00F56E14">
      <w:pPr>
        <w:spacing w:line="600" w:lineRule="exact"/>
        <w:jc w:val="center"/>
        <w:rPr>
          <w:rFonts w:asciiTheme="minorEastAsia" w:eastAsiaTheme="minorEastAsia" w:hAnsiTheme="minorEastAsia" w:cs="Times New Roman"/>
          <w:b/>
          <w:bCs/>
          <w:color w:val="000000"/>
          <w:sz w:val="36"/>
          <w:szCs w:val="36"/>
        </w:rPr>
      </w:pPr>
      <w:r w:rsidRPr="00173D3F">
        <w:rPr>
          <w:rFonts w:asciiTheme="minorEastAsia" w:eastAsiaTheme="minorEastAsia" w:hAnsiTheme="minorEastAsia" w:cs="Times New Roman"/>
          <w:b/>
          <w:bCs/>
          <w:color w:val="000000"/>
          <w:sz w:val="36"/>
          <w:szCs w:val="36"/>
        </w:rPr>
        <w:t>2018</w:t>
      </w:r>
      <w:r w:rsidRPr="00173D3F">
        <w:rPr>
          <w:rFonts w:asciiTheme="minorEastAsia" w:eastAsiaTheme="minorEastAsia" w:hAnsiTheme="minorEastAsia" w:cs="华文中宋" w:hint="eastAsia"/>
          <w:b/>
          <w:bCs/>
          <w:color w:val="000000"/>
          <w:sz w:val="36"/>
          <w:szCs w:val="36"/>
        </w:rPr>
        <w:t>年吉林省农机购置补贴机具补贴额一览表</w:t>
      </w:r>
    </w:p>
    <w:tbl>
      <w:tblPr>
        <w:tblpPr w:leftFromText="180" w:rightFromText="180" w:vertAnchor="text" w:horzAnchor="page" w:tblpX="831" w:tblpY="328"/>
        <w:tblOverlap w:val="never"/>
        <w:tblW w:w="15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40"/>
        <w:gridCol w:w="1520"/>
        <w:gridCol w:w="1195"/>
        <w:gridCol w:w="1980"/>
        <w:gridCol w:w="3030"/>
        <w:gridCol w:w="4485"/>
        <w:gridCol w:w="1335"/>
        <w:gridCol w:w="1535"/>
      </w:tblGrid>
      <w:tr w:rsidR="00F56E14" w:rsidTr="004D46D3">
        <w:trPr>
          <w:trHeight w:val="739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宋体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152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宋体" w:hint="eastAsia"/>
                <w:b/>
                <w:bCs/>
                <w:color w:val="000000"/>
                <w:kern w:val="0"/>
              </w:rPr>
              <w:t>大类</w:t>
            </w:r>
          </w:p>
        </w:tc>
        <w:tc>
          <w:tcPr>
            <w:tcW w:w="1195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宋体" w:hint="eastAsia"/>
                <w:b/>
                <w:bCs/>
                <w:color w:val="000000"/>
                <w:kern w:val="0"/>
              </w:rPr>
              <w:t>小类</w:t>
            </w: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宋体" w:hint="eastAsia"/>
                <w:b/>
                <w:bCs/>
                <w:color w:val="000000"/>
                <w:kern w:val="0"/>
              </w:rPr>
              <w:t>品目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宋体" w:hint="eastAsia"/>
                <w:b/>
                <w:bCs/>
                <w:color w:val="000000"/>
                <w:kern w:val="0"/>
              </w:rPr>
              <w:t>分档名称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宋体" w:hint="eastAsia"/>
                <w:b/>
                <w:bCs/>
                <w:color w:val="000000"/>
                <w:kern w:val="0"/>
              </w:rPr>
              <w:t>基本配置和参数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宋体" w:hint="eastAsia"/>
                <w:b/>
                <w:bCs/>
                <w:color w:val="000000"/>
                <w:kern w:val="0"/>
              </w:rPr>
              <w:t>中央财政补</w:t>
            </w:r>
          </w:p>
          <w:p w:rsidR="00F56E14" w:rsidRDefault="00F56E14" w:rsidP="004D46D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宋体" w:hint="eastAsia"/>
                <w:b/>
                <w:bCs/>
                <w:color w:val="000000"/>
                <w:kern w:val="0"/>
              </w:rPr>
              <w:t>贴额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(</w:t>
            </w:r>
            <w:r>
              <w:rPr>
                <w:rFonts w:ascii="Times New Roman" w:hAnsi="Times New Roman" w:cs="宋体" w:hint="eastAsia"/>
                <w:b/>
                <w:bCs/>
                <w:color w:val="000000"/>
                <w:kern w:val="0"/>
              </w:rPr>
              <w:t>元）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耕整地机械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耕地机械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铧式犁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以下，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3—4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铧翻转犁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；铧体个数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3—4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铧；液压翻转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1040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以下，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铧及以上翻转犁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铧体个数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铧；液压翻转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3—4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铧翻转犁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≥35cm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；铧体个数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3—4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铧；液压翻转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35—45cm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5—6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铧翻转犁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；铧体个数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5—6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铧；液压翻转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4200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404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35—45cm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铧及以上翻转犁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；铧体个数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铧；液压翻转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09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5—6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铧翻转犁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≥45cm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；铧体个数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5—6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铧；液压翻转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铧及以上翻转犁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单体幅宽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≥45cm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；铧体个数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铧；液压翻转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20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深松机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铲及以下深松机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深松部件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个及以下（不含旋耕、灭茬功能）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29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铲深松机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深松部件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个（不含旋耕、灭茬功能）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2300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8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铲及以上深松机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深松部件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个及以上（不含旋耕、灭茬功能）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49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耕整地机械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耕地机械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深松机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铲及以下振动式深松机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振动式；深松部件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个及以下；具有主动振动装置（不含旋耕、灭茬功能）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2160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26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铲振动式深松机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振动式；深松部件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个；具有主动振动装置（不含旋耕、灭茬功能）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2160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6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铲及以上振动式深松机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振动式；深松部件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个及以上；具有主动振动装置（不含旋耕、灭茬功能）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3240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6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微耕机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4.0kW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及以上微耕机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配套功率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≥4.0kW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650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整地机械</w:t>
            </w: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筑埂机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筑埂高度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筑埂高度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≥25cm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种植施肥机械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播种机械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条播机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行及以下条播机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360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7—11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行条播机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≤11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12—18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行条播机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≤18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19—24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行条播机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≤24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行及以上条播机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穴播机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普通排种器；播种行数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1380</w:t>
            </w:r>
          </w:p>
        </w:tc>
        <w:tc>
          <w:tcPr>
            <w:tcW w:w="153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精量播种器包括气力式和达到精量要求的指夹式，其他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 xml:space="preserve">列为普通型式　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普通排种器；播种行数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1890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行精量穴播机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精量排种器；播种行数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2160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6—10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行精量穴播机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精量排种器；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≤10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4050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362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25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行及以上精量穴播机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精量排种器；播种行数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6300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26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根茎作物播种机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2—3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行马铃薯播种机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6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行及以上马铃薯播种机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13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28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种植施肥机械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播种机械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免耕播种机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2—3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行免耕穴播机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普通排种器；播种行数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2—3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810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38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）精量排种器包括气力式和达到精量要求的指夹式，其他列为普通型式；（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）具备破茬、切草、清垄及开沟部件及具有切茬、分茬、防堵塞和防缠绕功能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行免耕穴播机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普通排种器；播种行数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1260</w:t>
            </w:r>
          </w:p>
        </w:tc>
        <w:tc>
          <w:tcPr>
            <w:tcW w:w="153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38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）精量排种器包括气力式和达到精量要求的指夹式，其他列为普通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型式；（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）具备破茬、切草、清垄及开沟部件及具有切茬、分茬、防堵塞和防缠绕功能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行及以上免耕穴播机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普通排种器；播种行数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2520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2—3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行精量免耕穴播机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精量排种器；播种行数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2—3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行精量免耕穴播机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精量排种器；播种行数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33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行及以上精量免耕穴播机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精量排种器；播种行数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5220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34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2—3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行牵引式免耕穴播机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精量排种器；播种行数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2—3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行；牵引式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12300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行牵引式免耕穴播机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精量排种器；播种行数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行；牵引式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23300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行及以上牵引式免耕穴播机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精量排种器；播种行数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行；牵引式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36500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37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种植施肥机械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育苗机械设备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秧盘播种成套设备（含床土处理）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200—500(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盘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/h)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秧盘播种成套设备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含铺底土、播种、洒水、覆土功能；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200(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盘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/h)≤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500(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盘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/h)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500(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盘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/h)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及以上秧盘播种成套设备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含铺底土、播种、洒水、覆土功能；生产率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≥500(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盘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/h)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栽植机械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水稻插秧机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行手扶步进式水稻插秧机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手扶步进式；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行及以上手扶步进式水稻插秧机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手扶步进式；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5800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行及以上独轮乘坐式水稻插秧机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独轮乘坐式；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4200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20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行四轮乘坐式水稻插秧机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四轮乘坐式；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16800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2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6—7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行四轮乘坐式水稻插秧机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四轮乘坐式；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28730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行及以上四轮乘坐式水稻插秧机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四轮乘坐式；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38600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45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施肥机械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施肥机（水稻侧深施肥装置）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与独轮插秧机配套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独轮乘坐式；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与高速插秧机配套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四轮乘坐式；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47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田间管理机械</w:t>
            </w:r>
          </w:p>
        </w:tc>
        <w:tc>
          <w:tcPr>
            <w:tcW w:w="119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中耕机械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田园管理机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4.0kW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及以上田园管理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配套功率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≥4.0kW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植保机械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喷杆喷雾机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以下悬挂及牵引式喷杆喷雾机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喷幅＜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；形式：悬挂式、牵引式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1080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12—18m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悬挂及牵引式喷杆喷雾机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喷幅＜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；形式：悬挂式、牵引式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田间管理机械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植保机械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喷杆喷雾机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及以上悬挂及牵引式喷杆喷雾机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喷幅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；形式：悬挂式、牵引式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6580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马力以下自走式喷杆喷雾机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马力；形式：自走式，四轮驱动、四轮转向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18—50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马力自走式喷杆喷雾机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马力；形式：自走式，四轮驱动、四轮转向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25650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50—100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马力自走式喷杆喷雾机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马力；形式：自走式，四轮驱动、四轮转向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28160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马力及以上自走式喷杆喷雾机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马力；形式：自走式，四轮驱动、四轮转向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55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谷物收获机械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2—3kg/s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自走轮式谷物联合收割机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11700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56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3—4kg/s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自走轮式谷物联合收割机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4—5kg/s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自走轮式谷物联合收割机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5—6kg/s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自走轮式谷物联合收割机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6—7kg/s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自走轮式谷物联合收割机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35800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及以上自走轮式谷物联合收割机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≥7kg/s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；自走轮式；喂入方式：全喂入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44900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126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61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谷物收获机械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0.6—1kg/s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自走履带式谷物联合收割机（全喂入）；包含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1—1.5kg/s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自走履带式水稻联合收割机（全喂入）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0.6kg/s≤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1kg/s 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水稻机喂入量＜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1.5kg/s 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6300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114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1—1.5kg/s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自走履带式谷物联合收割机（全喂入）；包含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1.5—2.1kg/s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自走履带式水稻联合收割机（全喂入）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水稻机喂入量＜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2.1kg/s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9100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113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63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1.5—2.1kg/s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自走履带式谷物联合收割机（全喂入）；包含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2.1—3kg/s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自走履带式水稻联合收割机（全喂入）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2.1kg/s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2.1kg/s≤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水稻机喂入量＜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14800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117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2.1—3kg/s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自走履带式谷物联合收割机（全喂入）；包含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3—4kg/s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自走履带式水稻联合收割机（全喂入）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2.1kg/s≤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水稻机喂入量＜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96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3—4kg/s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自走履带式谷物联合收割机（全喂入）；包含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及以上自走履带式水稻联合收割机（全喂入）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3kg/s≤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；水稻机喂入量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≥4kg/s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24000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及以上自走履带式谷物联合收割机（全喂入）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喂入量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≥4kg/s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；自走履带式；喂入方式：全喂入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31300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67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收获机械</w:t>
            </w:r>
          </w:p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谷物收获机械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马力及以上半喂入联合收割机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收获行数：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行；喂入方式：半喂入；功率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≥35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759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马力及以上半喂入联合收割机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收获行数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行；喂入方式：半喂入；功率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≥35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玉米收获机械</w:t>
            </w:r>
          </w:p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玉米收获机械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自走式玉米收获机（含穗茎兼收玉米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收获机）</w:t>
            </w:r>
          </w:p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行摘穗型自走式玉米收获机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行割台；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；形式：自走式（摘穗型）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7990</w:t>
            </w:r>
          </w:p>
        </w:tc>
        <w:tc>
          <w:tcPr>
            <w:tcW w:w="153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不对行收获机型按幅宽归档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70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行摘穗型自走式玉米收获机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行割台；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1.8m≤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2.4m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；形式：自走式（摘穗型）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24970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71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行摘穗型自走式玉米收获机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行割台；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2.4m≤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；形式：自走式（摘穗型）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39240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kern w:val="0"/>
              </w:rPr>
              <w:t>5</w:t>
            </w:r>
            <w:r>
              <w:rPr>
                <w:rFonts w:ascii="Times New Roman" w:eastAsia="仿宋_GB2312" w:hAnsi="Times New Roman" w:cs="仿宋_GB2312" w:hint="eastAsia"/>
                <w:kern w:val="0"/>
              </w:rPr>
              <w:t>行及以上摘穗型自走式玉米收获机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kern w:val="0"/>
              </w:rPr>
              <w:t>5</w:t>
            </w:r>
            <w:r>
              <w:rPr>
                <w:rFonts w:ascii="Times New Roman" w:eastAsia="仿宋_GB2312" w:hAnsi="Times New Roman" w:cs="仿宋_GB2312" w:hint="eastAsia"/>
                <w:kern w:val="0"/>
              </w:rPr>
              <w:t>行及以上割台；幅宽</w:t>
            </w:r>
            <w:r>
              <w:rPr>
                <w:rFonts w:ascii="Times New Roman" w:eastAsia="仿宋_GB2312" w:hAnsi="Times New Roman" w:cs="Times New Roman"/>
                <w:kern w:val="0"/>
              </w:rPr>
              <w:t>≥2.8m</w:t>
            </w:r>
            <w:r>
              <w:rPr>
                <w:rFonts w:ascii="Times New Roman" w:eastAsia="仿宋_GB2312" w:hAnsi="Times New Roman" w:cs="仿宋_GB2312" w:hint="eastAsia"/>
                <w:kern w:val="0"/>
              </w:rPr>
              <w:t>；形式：自走式（摘穗型）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69240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行摘穗剥皮型自走式玉米收获机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行割台；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；形式：自走式（摘穗剥皮型）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19780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行摘穗剥皮型自走式玉米收获机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行割台；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1.8m≤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2.4m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；形式：自走式（摘穗剥皮型）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42300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行摘穗剥皮型自走式玉米收获机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行割台；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2.4m≤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；形式：自走式（摘穗剥皮型）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56200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行及以上摘穗剥皮型自走式玉米收获机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kern w:val="0"/>
              </w:rPr>
              <w:t>5</w:t>
            </w:r>
            <w:r>
              <w:rPr>
                <w:rFonts w:ascii="Times New Roman" w:eastAsia="仿宋_GB2312" w:hAnsi="Times New Roman" w:cs="仿宋_GB2312" w:hint="eastAsia"/>
                <w:kern w:val="0"/>
              </w:rPr>
              <w:t>行及以上割台；幅宽</w:t>
            </w:r>
            <w:r>
              <w:rPr>
                <w:rFonts w:ascii="Times New Roman" w:eastAsia="仿宋_GB2312" w:hAnsi="Times New Roman" w:cs="Times New Roman"/>
                <w:kern w:val="0"/>
              </w:rPr>
              <w:t>≥2.8m</w:t>
            </w:r>
            <w:r>
              <w:rPr>
                <w:rFonts w:ascii="Times New Roman" w:eastAsia="仿宋_GB2312" w:hAnsi="Times New Roman" w:cs="仿宋_GB2312" w:hint="eastAsia"/>
                <w:kern w:val="0"/>
              </w:rPr>
              <w:t>；形式：自走式（摘穗剥皮型）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69240</w:t>
            </w:r>
          </w:p>
        </w:tc>
        <w:tc>
          <w:tcPr>
            <w:tcW w:w="153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行及以下自走式玉米籽粒联合收获机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行及以下割台；幅宽＜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2.4m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；形式：自走式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78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收获机械</w:t>
            </w:r>
          </w:p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玉米收获机械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行自走式玉米籽粒联合收获机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行割台；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2.4m≤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；形式：自走式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30600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行及以上自走式玉米籽粒联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合收获机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行及以上割台；幅宽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≥2.8m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；形式：自走式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87400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80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果实收获机械</w:t>
            </w: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辣椒收获机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辣椒收获机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自走式、工作幅宽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≥1.8m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根茎作物收获机械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薯类收获机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0.7—1m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分段式薯类收获机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分段收获；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0.7m≤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作业幅宽＜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580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1—1.5m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分段式薯类收获机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分段收获；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作业幅宽＜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1660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及以上分段式薯类收获机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分段收获；作业幅宽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≥1.5m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2660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薯类联合收获机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联合收获，包含挖掘、抖土、分离、集装等功能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20830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花生收获机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0.8-1.5m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0.8m≤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830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及以上花生收获机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≥1.5m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捡拾收获机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含捡拾、分离、摘果、集箱等功能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自走式联合收获机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含挖掘、分离、摘果、集箱等功能。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16330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饲料作物收获机械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0.7—1.2m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捡拾压捆机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0.7m≤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捡拾宽度＜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1.2m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7280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1.2—1.7m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捡拾压捆机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1.2m≤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捡拾宽度＜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1.7m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1.7—2.2m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捡拾压捆机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1.7m≤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捡拾宽度＜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2.2m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34500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92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饲料作物收获机械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打（压）捆机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2.2m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及以上捡拾压捆机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捡拾宽度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≥2.2m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39670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4kW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及以上圆捆压捆机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圆捆；功率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≥4kW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8740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7.5—15kW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方捆压捆机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方捆；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7.5kW≤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15kW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15kW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及以上方捆压捆机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方捆；功率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≥15kW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13700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150—160cm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悬挂甩刀式青饲料收获机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悬挂甩刀式；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4200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及以上悬挂甩刀式青饲料收获机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悬挂甩刀式；割幅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≥160cm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90—110cm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悬挂单圆盘式青饲料收获机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悬挂单圆盘式；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：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及以上悬挂单圆盘式青饲料收获机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悬挂单圆盘式；割幅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≥110cm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17200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90—110cm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悬挂双圆盘式青饲料收获机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悬挂双圆盘式；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110—210cm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悬挂双圆盘式青饲料收获机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悬挂双圆盘式；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17200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210—220cm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悬挂双圆盘式青饲料收获机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悬挂双圆盘式；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103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及以上悬挂双圆盘式青饲料收获机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悬挂双圆盘式；割幅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≥220cm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32000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104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饲料作物收获机械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青饲料收获机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160—190cm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悬挂其他式青饲料收获机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悬挂其他式；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190—220cm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悬挂其他式青饲料收获机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悬挂其他式；割幅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≥190cm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及以上悬挂其他式青饲料收获机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悬挂其他式；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16020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及以上牵引式青饲料收获机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牵引式；割幅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≥110cm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8010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200—260cm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自走圆盘式青饲料收获机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自走圆盘式；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260cm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53100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260cm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及以上自走圆盘式青饲料收获机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自走圆盘式；割幅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≥260cm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108000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180—220cm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自走其他式青饲料收获机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自走其他式；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220—260cm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自走其他式青饲料收获机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自走其他式；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260cm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54900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260—290cm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自走其他式青饲料收获机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自走其他式；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260cm≤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割幅＜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290cm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86500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113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290cm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及以上自走其他式青饲料收获机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自走其他式；割幅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≥290cm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129600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秸秆粉碎还田机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1—1.5m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秸秆粉碎还田机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作业幅宽＜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115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Pr="00D4296F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D4296F">
              <w:rPr>
                <w:rFonts w:ascii="Times New Roman" w:eastAsia="仿宋_GB2312" w:hAnsi="Times New Roman" w:cs="仿宋_GB2312" w:hint="eastAsia"/>
                <w:color w:val="000000"/>
                <w:kern w:val="0"/>
                <w:sz w:val="22"/>
                <w:szCs w:val="22"/>
              </w:rPr>
              <w:t>茎秆收集处理机械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秸秆粉碎还田机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1.5—2m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秸秆粉碎还田机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作业幅宽＜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Pr="00D4296F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2—2.5m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秸秆粉碎还田机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作业幅宽＜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2.5m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Pr="00D4296F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2.5m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及以上秸秆粉碎还田机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作业幅宽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≥2.5m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2250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118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收获后处理机械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Pr="00D4296F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D4296F">
              <w:rPr>
                <w:rFonts w:ascii="Times New Roman" w:eastAsia="仿宋_GB2312" w:hAnsi="Times New Roman" w:cs="仿宋_GB2312" w:hint="eastAsia"/>
                <w:color w:val="000000"/>
                <w:kern w:val="0"/>
                <w:sz w:val="22"/>
                <w:szCs w:val="22"/>
              </w:rPr>
              <w:t>脱粒机械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花生摘果机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花生摘果机，配套动力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3-7kW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花生摘果机，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3kW≤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配套动力＜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7kW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花生摘果机，配套动力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7-11kW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花生摘果机，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7kW≤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配套动力＜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11kW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花生摘果机，配套动力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11kW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花生摘果机，配套动力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≥11kW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清选机械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粮食清选机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3—5t/h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粮食清选机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3t/h≤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5t/h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5—15t/h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粮食清选机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5t/h≤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15t/h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15—25t/h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粮食清选机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15t/h≤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25t/h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及以上粮食清选机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≥25t/h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普通光电大米色选机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应用传统光电探测器技术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126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单元以下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CCD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图像传感器大米色选机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色选机执行单元数＜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；应用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CCD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图像传感器技术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单元及以上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CCD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图像传感器大米色选机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色选机执行单元数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≥300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；应用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CCD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图像传感器技术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单元以下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CCD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图像传感器杂粮色选机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色选机执行单元数＜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；应用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CCD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图像传感器技术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129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收获后处理机械</w:t>
            </w:r>
          </w:p>
        </w:tc>
        <w:tc>
          <w:tcPr>
            <w:tcW w:w="119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清选机械</w:t>
            </w: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粮食清选机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单元及以上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CCD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图像传感器杂粮色选机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色选机执行单元数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≥300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；应用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CCD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图像传感器技术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干燥机械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谷物烘干机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4—10t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循环式谷物烘干机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4t≤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；循环式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10—20t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循环式谷物烘干机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10t≤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；循环式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28820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20—30t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循环式谷物烘干机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20t≤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；循环式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31950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及以上循环式谷物烘干机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≥30t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；循环式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69900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50t/d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以下连续式谷物烘干机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处理量＜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50t/d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；连续式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23700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50—100t/d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连续式谷物烘干机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50t/d≤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处理量＜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100t/d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；连续式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35100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136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100t/d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及以上连续式谷物烘干机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≥100t/d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；连续式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116200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3—5t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平床式谷物烘干机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3t≤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装载量＜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；平床式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及以上平床式谷物烘干机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装载量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≥5t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；平床式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7200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60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果蔬烘干机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容积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5m³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以下果蔬烘干机（整体脱水）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容积＜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5m³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；整体脱水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60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容积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5—15m³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果蔬烘干机（整体脱水）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5m³≤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容积＜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15m³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；整体脱水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60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141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收获后处理机械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干燥机械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果蔬烘干机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容积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15m³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及以上果蔬烘干机（整体脱水）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容积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≥15m³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；整体脱水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以下果蔬烘干机（表面烘干）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；表面烘干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840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1—5t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果蔬烘干机（表面烘干）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1t≤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；表面烘干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5—10t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果蔬烘干机（表面烘干）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5t≤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；表面烘干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5600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10—20t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果蔬烘干机（表面烘干）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10t≤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20t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；表面烘干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146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农产品初加工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机械</w:t>
            </w:r>
          </w:p>
        </w:tc>
        <w:tc>
          <w:tcPr>
            <w:tcW w:w="119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果蔬加工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机械</w:t>
            </w: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蔬菜清洗机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毛刷辊长度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2.5m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及以上蔬菜清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洗机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毛刷辊长度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≥2.5m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蔬菜清洗机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147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剥壳（去皮）机械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花生脱壳机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1t/h-1.5t/h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花生脱壳机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1t/h≤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花生脱壳机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660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1.5t/h-3t/h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花生脱壳机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1.5t/h≤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花生脱壳机（含自动上料设备）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以上花生脱壳机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≥3t/h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（含自动上料、除杂设备）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3750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干坚果脱壳机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松子脱壳机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松子脱壳机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榛子脱壳机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榛子脱壳机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152</w:t>
            </w:r>
          </w:p>
        </w:tc>
        <w:tc>
          <w:tcPr>
            <w:tcW w:w="152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排灌机械</w:t>
            </w:r>
          </w:p>
        </w:tc>
        <w:tc>
          <w:tcPr>
            <w:tcW w:w="119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喷灌机械设备</w:t>
            </w: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喷灌机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管径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65mm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以下卷盘式喷灌机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卷盘式；管径＜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65mm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3870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153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排灌机械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喷灌机械设备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喷灌机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管径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65—75mm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卷盘式喷灌机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卷盘式；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65mm≤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管径＜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75mm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8820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管径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75—85mm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卷盘式喷灌机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卷盘式；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75mm≤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管径＜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85mm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9720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管径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85mm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及以上卷盘式喷灌机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卷盘式；管径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≥85mm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大型喷灌机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中心支轴式喷灌机或者平移式喷灌机（每跨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≥50m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）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/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跨（上限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万）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157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畜牧机械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饲料（草）加工机械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设备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lastRenderedPageBreak/>
              <w:t>揉丝机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2—4t/h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揉丝机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）＜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158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4—6t/h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揉丝机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）＜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159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6—10t/h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揉丝机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）＜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Pr="00D4296F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highlight w:val="yellow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10—15t/h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揉丝机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）＜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2310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及以上揉丝机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≥15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饲料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(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)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粉碎机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400—550mm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饲料粉碎机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400mm≤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转子直径＜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550mm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550mm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及以上饲料粉碎机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转子直径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≥550mm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164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畜牧机械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饲料（草）加工机械设备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颗粒饲料压制机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平模颗粒饲料压制机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平模直径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≥200mm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环模直径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200—250mm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颗粒饲料压制机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200mm≤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环模直径＜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250mm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，电机功率＜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17kW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环模直径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250mm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及以上颗粒饲料压制机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环模直径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≥250mm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，电机功率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≥17kW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167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秸秆膨化机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入口螺杆直径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≥120mm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及以上的秸秆膨化机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≥1000kg/h;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入口螺杆直径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≥120mm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饲养机械</w:t>
            </w: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喂料机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螺旋喂料机输送长度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含料塔，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输送长度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≤50m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清粪机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牵引刮板式清粪机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牵引刮板式清粪机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31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粪污固液分离机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污粪固液分离机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污粪固液分离机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2600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171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农业废弃物利用处理设备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废弃物处理设备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残膜回收机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扒齿搂膜式或其他残膜回收机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,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工作幅宽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1m-3m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机引式，工作方式：扒齿搂膜式或其他式，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工作幅宽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≤3m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拔杆式残膜回收机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,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工作幅宽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1.4m-2m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工作方式：拔杆起膜式，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1.4m≤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工作幅宽＜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拔杆式残膜回收机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,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工作幅宽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及以上　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工作方式：拔杆起膜，工作幅宽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带秸秆粉碎功能残膜回收机，工作幅宽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1.8m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工作幅宽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≥1.8m;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带秸秆粉碎功能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0.5-1t/h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压块机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0.5t/h≤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1t/h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176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农业废弃物利用处理设备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废弃物处理设备</w:t>
            </w: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1-2t/h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压块机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1t/h≤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2t/h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281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2t/h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及以上压块机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生产率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≥2t/h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25000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178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病死畜禽无害化处理设备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,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500kg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以下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500kg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以下，配备切割、加热、尾气处理装置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179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病死畜禽无害化处理设备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,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500kg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批处理量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500kg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及以上，配备切割、加热、尾气处理装置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农田基本建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br/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设机械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平地机械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平地机（含激光平地机）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2-3m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激光平地机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2m≤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3m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7600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及以上激光平地机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幅宽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≥3m 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11210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182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动力机械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拖拉机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轮式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30—40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5520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40—50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8280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50—60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60—70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13800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70—80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18450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80—90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20160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188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动力机械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拖拉机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轮式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90—100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马力两轮驱动拖拉机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22700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马力及以上两轮驱动拖拉机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马力；驱动方式：两轮驱动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24300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30—40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10120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40—50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12750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50—60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16330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60—70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18300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70—80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22030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80—90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22030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90—100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31210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197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100—120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31210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198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动力机械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拖拉机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轮式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拖拉机（不含皮带传动轮式拖拉机）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120—140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46500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199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140—160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59540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160—180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71440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201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180—200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74290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马力及以上四轮驱动拖拉机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≥200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马力；驱动方式：四轮驱动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127630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履带式拖拉机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40—50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50—60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60—70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24500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70—80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70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36700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207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80—90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80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36700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lastRenderedPageBreak/>
              <w:t>208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90—100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90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42000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209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100—110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210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110—120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110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45000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211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动力机械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拖拉机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履带式拖拉机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120—130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120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53500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212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130—140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56000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213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140—150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66000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214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150—160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≤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66000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215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马力及以上履带式拖拉机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≥160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105000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570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216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马力及以上轻型履带式拖拉机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功率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≥50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马力；驱动方式：履带式；橡胶履带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14400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855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217</w:t>
            </w:r>
          </w:p>
        </w:tc>
        <w:tc>
          <w:tcPr>
            <w:tcW w:w="152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其他机械</w:t>
            </w:r>
          </w:p>
        </w:tc>
        <w:tc>
          <w:tcPr>
            <w:tcW w:w="1195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其他机械</w:t>
            </w:r>
          </w:p>
        </w:tc>
        <w:tc>
          <w:tcPr>
            <w:tcW w:w="1980" w:type="dxa"/>
            <w:vMerge w:val="restart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农业用北斗终端</w:t>
            </w: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电动方向盘，直线精度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±10cm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的北斗导航辅助驾驶系统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电动方向盘，北斗导航辅助驾驶系统，直线精度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±10cm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13000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  <w:tr w:rsidR="00F56E14" w:rsidTr="004D46D3">
        <w:trPr>
          <w:trHeight w:val="139"/>
        </w:trPr>
        <w:tc>
          <w:tcPr>
            <w:tcW w:w="640" w:type="dxa"/>
            <w:vAlign w:val="center"/>
          </w:tcPr>
          <w:p w:rsidR="00F56E14" w:rsidRDefault="00F56E14" w:rsidP="004D46D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218</w:t>
            </w:r>
          </w:p>
        </w:tc>
        <w:tc>
          <w:tcPr>
            <w:tcW w:w="152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195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1980" w:type="dxa"/>
            <w:vMerge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</w:tc>
        <w:tc>
          <w:tcPr>
            <w:tcW w:w="3030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液压控制转向机，直线精度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±2.5cm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的北斗导航自动驾驶系统</w:t>
            </w:r>
          </w:p>
        </w:tc>
        <w:tc>
          <w:tcPr>
            <w:tcW w:w="448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>液压控制转向机，北斗导航自动驾驶系统，直线精度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±2.5cm</w:t>
            </w:r>
          </w:p>
        </w:tc>
        <w:tc>
          <w:tcPr>
            <w:tcW w:w="13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20000</w:t>
            </w:r>
          </w:p>
        </w:tc>
        <w:tc>
          <w:tcPr>
            <w:tcW w:w="1535" w:type="dxa"/>
            <w:vAlign w:val="center"/>
          </w:tcPr>
          <w:p w:rsidR="00F56E14" w:rsidRDefault="00F56E14" w:rsidP="004D46D3">
            <w:pPr>
              <w:widowControl/>
              <w:spacing w:line="400" w:lineRule="exac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</w:rPr>
              <w:t xml:space="preserve">　</w:t>
            </w:r>
          </w:p>
        </w:tc>
      </w:tr>
    </w:tbl>
    <w:p w:rsidR="00F56E14" w:rsidRDefault="00F56E14" w:rsidP="00F56E14">
      <w:pPr>
        <w:spacing w:line="600" w:lineRule="exact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</w:p>
    <w:p w:rsidR="009748B5" w:rsidRDefault="009748B5"/>
    <w:sectPr w:rsidR="009748B5" w:rsidSect="00F56E1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w Cen MT">
    <w:altName w:val="Batang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华文仿宋">
    <w:altName w:val="Batang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华文中宋">
    <w:altName w:val="Batang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37878"/>
    <w:multiLevelType w:val="hybridMultilevel"/>
    <w:tmpl w:val="7B085CAA"/>
    <w:lvl w:ilvl="0" w:tplc="C828223A">
      <w:start w:val="1"/>
      <w:numFmt w:val="decimal"/>
      <w:lvlText w:val="%1．"/>
      <w:lvlJc w:val="left"/>
      <w:pPr>
        <w:ind w:left="1780" w:hanging="1140"/>
      </w:pPr>
      <w:rPr>
        <w:rFonts w:ascii="仿宋" w:eastAsia="仿宋" w:hAnsi="仿宋"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6E14"/>
    <w:rsid w:val="00034019"/>
    <w:rsid w:val="00511F8E"/>
    <w:rsid w:val="009748B5"/>
    <w:rsid w:val="00F56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E14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F56E14"/>
    <w:pPr>
      <w:widowControl/>
      <w:spacing w:before="480" w:line="600" w:lineRule="exact"/>
      <w:jc w:val="left"/>
      <w:outlineLvl w:val="0"/>
    </w:pPr>
    <w:rPr>
      <w:rFonts w:ascii="Tw Cen MT" w:eastAsia="华文仿宋" w:hAnsi="Tw Cen MT" w:cs="Tw Cen MT"/>
      <w:b/>
      <w:bCs/>
      <w:kern w:val="0"/>
      <w:sz w:val="28"/>
      <w:szCs w:val="28"/>
      <w:lang w:eastAsia="en-US"/>
    </w:rPr>
  </w:style>
  <w:style w:type="paragraph" w:styleId="2">
    <w:name w:val="heading 2"/>
    <w:basedOn w:val="a"/>
    <w:next w:val="a"/>
    <w:link w:val="2Char"/>
    <w:uiPriority w:val="99"/>
    <w:qFormat/>
    <w:rsid w:val="00F56E14"/>
    <w:pPr>
      <w:widowControl/>
      <w:spacing w:before="200" w:line="600" w:lineRule="exact"/>
      <w:jc w:val="left"/>
      <w:outlineLvl w:val="1"/>
    </w:pPr>
    <w:rPr>
      <w:rFonts w:ascii="Tw Cen MT" w:eastAsia="华文仿宋" w:hAnsi="Tw Cen MT" w:cs="Tw Cen MT"/>
      <w:b/>
      <w:bCs/>
      <w:kern w:val="0"/>
      <w:sz w:val="26"/>
      <w:szCs w:val="26"/>
      <w:lang w:eastAsia="en-US"/>
    </w:rPr>
  </w:style>
  <w:style w:type="paragraph" w:styleId="3">
    <w:name w:val="heading 3"/>
    <w:basedOn w:val="a"/>
    <w:next w:val="a"/>
    <w:link w:val="3Char"/>
    <w:uiPriority w:val="99"/>
    <w:qFormat/>
    <w:rsid w:val="00F56E14"/>
    <w:pPr>
      <w:widowControl/>
      <w:spacing w:before="200" w:line="271" w:lineRule="auto"/>
      <w:jc w:val="left"/>
      <w:outlineLvl w:val="2"/>
    </w:pPr>
    <w:rPr>
      <w:rFonts w:ascii="Tw Cen MT" w:eastAsia="华文仿宋" w:hAnsi="Tw Cen MT" w:cs="Tw Cen MT"/>
      <w:b/>
      <w:bCs/>
      <w:kern w:val="0"/>
      <w:sz w:val="22"/>
      <w:szCs w:val="22"/>
      <w:lang w:eastAsia="en-US"/>
    </w:rPr>
  </w:style>
  <w:style w:type="paragraph" w:styleId="4">
    <w:name w:val="heading 4"/>
    <w:basedOn w:val="a"/>
    <w:next w:val="a"/>
    <w:link w:val="4Char"/>
    <w:uiPriority w:val="99"/>
    <w:qFormat/>
    <w:rsid w:val="00F56E14"/>
    <w:pPr>
      <w:widowControl/>
      <w:spacing w:before="200" w:line="600" w:lineRule="exact"/>
      <w:jc w:val="left"/>
      <w:outlineLvl w:val="3"/>
    </w:pPr>
    <w:rPr>
      <w:rFonts w:ascii="Tw Cen MT" w:eastAsia="华文仿宋" w:hAnsi="Tw Cen MT" w:cs="Tw Cen MT"/>
      <w:b/>
      <w:bCs/>
      <w:i/>
      <w:iCs/>
      <w:kern w:val="0"/>
      <w:sz w:val="22"/>
      <w:szCs w:val="22"/>
      <w:lang w:eastAsia="en-US"/>
    </w:rPr>
  </w:style>
  <w:style w:type="paragraph" w:styleId="5">
    <w:name w:val="heading 5"/>
    <w:basedOn w:val="a"/>
    <w:next w:val="a"/>
    <w:link w:val="5Char"/>
    <w:uiPriority w:val="99"/>
    <w:qFormat/>
    <w:rsid w:val="00F56E14"/>
    <w:pPr>
      <w:widowControl/>
      <w:spacing w:before="200" w:line="600" w:lineRule="exact"/>
      <w:jc w:val="left"/>
      <w:outlineLvl w:val="4"/>
    </w:pPr>
    <w:rPr>
      <w:rFonts w:ascii="Tw Cen MT" w:eastAsia="华文仿宋" w:hAnsi="Tw Cen MT" w:cs="Tw Cen MT"/>
      <w:b/>
      <w:bCs/>
      <w:color w:val="7F7F7F"/>
      <w:kern w:val="0"/>
      <w:sz w:val="22"/>
      <w:szCs w:val="22"/>
      <w:lang w:eastAsia="en-US"/>
    </w:rPr>
  </w:style>
  <w:style w:type="paragraph" w:styleId="6">
    <w:name w:val="heading 6"/>
    <w:basedOn w:val="a"/>
    <w:next w:val="a"/>
    <w:link w:val="6Char"/>
    <w:uiPriority w:val="99"/>
    <w:qFormat/>
    <w:rsid w:val="00F56E14"/>
    <w:pPr>
      <w:widowControl/>
      <w:spacing w:line="271" w:lineRule="auto"/>
      <w:jc w:val="left"/>
      <w:outlineLvl w:val="5"/>
    </w:pPr>
    <w:rPr>
      <w:rFonts w:ascii="Tw Cen MT" w:eastAsia="华文仿宋" w:hAnsi="Tw Cen MT" w:cs="Tw Cen MT"/>
      <w:b/>
      <w:bCs/>
      <w:i/>
      <w:iCs/>
      <w:color w:val="7F7F7F"/>
      <w:kern w:val="0"/>
      <w:sz w:val="22"/>
      <w:szCs w:val="22"/>
      <w:lang w:eastAsia="en-US"/>
    </w:rPr>
  </w:style>
  <w:style w:type="paragraph" w:styleId="7">
    <w:name w:val="heading 7"/>
    <w:basedOn w:val="a"/>
    <w:next w:val="a"/>
    <w:link w:val="7Char"/>
    <w:uiPriority w:val="99"/>
    <w:qFormat/>
    <w:rsid w:val="00F56E14"/>
    <w:pPr>
      <w:widowControl/>
      <w:spacing w:line="600" w:lineRule="exact"/>
      <w:jc w:val="left"/>
      <w:outlineLvl w:val="6"/>
    </w:pPr>
    <w:rPr>
      <w:rFonts w:ascii="Tw Cen MT" w:eastAsia="华文仿宋" w:hAnsi="Tw Cen MT" w:cs="Tw Cen MT"/>
      <w:i/>
      <w:iCs/>
      <w:kern w:val="0"/>
      <w:sz w:val="22"/>
      <w:szCs w:val="22"/>
      <w:lang w:eastAsia="en-US"/>
    </w:rPr>
  </w:style>
  <w:style w:type="paragraph" w:styleId="8">
    <w:name w:val="heading 8"/>
    <w:basedOn w:val="a"/>
    <w:next w:val="a"/>
    <w:link w:val="8Char"/>
    <w:uiPriority w:val="99"/>
    <w:qFormat/>
    <w:rsid w:val="00F56E14"/>
    <w:pPr>
      <w:widowControl/>
      <w:spacing w:line="600" w:lineRule="exact"/>
      <w:jc w:val="left"/>
      <w:outlineLvl w:val="7"/>
    </w:pPr>
    <w:rPr>
      <w:rFonts w:ascii="Tw Cen MT" w:eastAsia="华文仿宋" w:hAnsi="Tw Cen MT" w:cs="Tw Cen MT"/>
      <w:kern w:val="0"/>
      <w:sz w:val="20"/>
      <w:szCs w:val="20"/>
      <w:lang w:eastAsia="en-US"/>
    </w:rPr>
  </w:style>
  <w:style w:type="paragraph" w:styleId="9">
    <w:name w:val="heading 9"/>
    <w:basedOn w:val="a"/>
    <w:next w:val="a"/>
    <w:link w:val="9Char"/>
    <w:uiPriority w:val="99"/>
    <w:qFormat/>
    <w:rsid w:val="00F56E14"/>
    <w:pPr>
      <w:widowControl/>
      <w:spacing w:line="600" w:lineRule="exact"/>
      <w:jc w:val="left"/>
      <w:outlineLvl w:val="8"/>
    </w:pPr>
    <w:rPr>
      <w:rFonts w:ascii="Tw Cen MT" w:eastAsia="华文仿宋" w:hAnsi="Tw Cen MT" w:cs="Tw Cen MT"/>
      <w:i/>
      <w:iCs/>
      <w:spacing w:val="5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F56E14"/>
    <w:rPr>
      <w:rFonts w:ascii="Tw Cen MT" w:eastAsia="华文仿宋" w:hAnsi="Tw Cen MT" w:cs="Tw Cen MT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99"/>
    <w:rsid w:val="00F56E14"/>
    <w:rPr>
      <w:rFonts w:ascii="Tw Cen MT" w:eastAsia="华文仿宋" w:hAnsi="Tw Cen MT" w:cs="Tw Cen MT"/>
      <w:b/>
      <w:bCs/>
      <w:kern w:val="0"/>
      <w:sz w:val="26"/>
      <w:szCs w:val="26"/>
      <w:lang w:eastAsia="en-US"/>
    </w:rPr>
  </w:style>
  <w:style w:type="character" w:customStyle="1" w:styleId="3Char">
    <w:name w:val="标题 3 Char"/>
    <w:basedOn w:val="a0"/>
    <w:link w:val="3"/>
    <w:uiPriority w:val="99"/>
    <w:rsid w:val="00F56E14"/>
    <w:rPr>
      <w:rFonts w:ascii="Tw Cen MT" w:eastAsia="华文仿宋" w:hAnsi="Tw Cen MT" w:cs="Tw Cen MT"/>
      <w:b/>
      <w:bCs/>
      <w:kern w:val="0"/>
      <w:sz w:val="22"/>
      <w:lang w:eastAsia="en-US"/>
    </w:rPr>
  </w:style>
  <w:style w:type="character" w:customStyle="1" w:styleId="4Char">
    <w:name w:val="标题 4 Char"/>
    <w:basedOn w:val="a0"/>
    <w:link w:val="4"/>
    <w:uiPriority w:val="99"/>
    <w:rsid w:val="00F56E14"/>
    <w:rPr>
      <w:rFonts w:ascii="Tw Cen MT" w:eastAsia="华文仿宋" w:hAnsi="Tw Cen MT" w:cs="Tw Cen MT"/>
      <w:b/>
      <w:bCs/>
      <w:i/>
      <w:iCs/>
      <w:kern w:val="0"/>
      <w:sz w:val="22"/>
      <w:lang w:eastAsia="en-US"/>
    </w:rPr>
  </w:style>
  <w:style w:type="character" w:customStyle="1" w:styleId="5Char">
    <w:name w:val="标题 5 Char"/>
    <w:basedOn w:val="a0"/>
    <w:link w:val="5"/>
    <w:uiPriority w:val="99"/>
    <w:rsid w:val="00F56E14"/>
    <w:rPr>
      <w:rFonts w:ascii="Tw Cen MT" w:eastAsia="华文仿宋" w:hAnsi="Tw Cen MT" w:cs="Tw Cen MT"/>
      <w:b/>
      <w:bCs/>
      <w:color w:val="7F7F7F"/>
      <w:kern w:val="0"/>
      <w:sz w:val="22"/>
      <w:lang w:eastAsia="en-US"/>
    </w:rPr>
  </w:style>
  <w:style w:type="character" w:customStyle="1" w:styleId="6Char">
    <w:name w:val="标题 6 Char"/>
    <w:basedOn w:val="a0"/>
    <w:link w:val="6"/>
    <w:uiPriority w:val="99"/>
    <w:rsid w:val="00F56E14"/>
    <w:rPr>
      <w:rFonts w:ascii="Tw Cen MT" w:eastAsia="华文仿宋" w:hAnsi="Tw Cen MT" w:cs="Tw Cen MT"/>
      <w:b/>
      <w:bCs/>
      <w:i/>
      <w:iCs/>
      <w:color w:val="7F7F7F"/>
      <w:kern w:val="0"/>
      <w:sz w:val="22"/>
      <w:lang w:eastAsia="en-US"/>
    </w:rPr>
  </w:style>
  <w:style w:type="character" w:customStyle="1" w:styleId="7Char">
    <w:name w:val="标题 7 Char"/>
    <w:basedOn w:val="a0"/>
    <w:link w:val="7"/>
    <w:uiPriority w:val="99"/>
    <w:rsid w:val="00F56E14"/>
    <w:rPr>
      <w:rFonts w:ascii="Tw Cen MT" w:eastAsia="华文仿宋" w:hAnsi="Tw Cen MT" w:cs="Tw Cen MT"/>
      <w:i/>
      <w:iCs/>
      <w:kern w:val="0"/>
      <w:sz w:val="22"/>
      <w:lang w:eastAsia="en-US"/>
    </w:rPr>
  </w:style>
  <w:style w:type="character" w:customStyle="1" w:styleId="8Char">
    <w:name w:val="标题 8 Char"/>
    <w:basedOn w:val="a0"/>
    <w:link w:val="8"/>
    <w:uiPriority w:val="99"/>
    <w:rsid w:val="00F56E14"/>
    <w:rPr>
      <w:rFonts w:ascii="Tw Cen MT" w:eastAsia="华文仿宋" w:hAnsi="Tw Cen MT" w:cs="Tw Cen MT"/>
      <w:kern w:val="0"/>
      <w:sz w:val="20"/>
      <w:szCs w:val="20"/>
      <w:lang w:eastAsia="en-US"/>
    </w:rPr>
  </w:style>
  <w:style w:type="character" w:customStyle="1" w:styleId="9Char">
    <w:name w:val="标题 9 Char"/>
    <w:basedOn w:val="a0"/>
    <w:link w:val="9"/>
    <w:uiPriority w:val="99"/>
    <w:rsid w:val="00F56E14"/>
    <w:rPr>
      <w:rFonts w:ascii="Tw Cen MT" w:eastAsia="华文仿宋" w:hAnsi="Tw Cen MT" w:cs="Tw Cen MT"/>
      <w:i/>
      <w:iCs/>
      <w:spacing w:val="5"/>
      <w:kern w:val="0"/>
      <w:sz w:val="20"/>
      <w:szCs w:val="20"/>
      <w:lang w:eastAsia="en-US"/>
    </w:rPr>
  </w:style>
  <w:style w:type="paragraph" w:styleId="a3">
    <w:name w:val="List Paragraph"/>
    <w:basedOn w:val="a"/>
    <w:uiPriority w:val="99"/>
    <w:qFormat/>
    <w:rsid w:val="00F56E14"/>
    <w:pPr>
      <w:ind w:firstLineChars="200" w:firstLine="420"/>
    </w:pPr>
  </w:style>
  <w:style w:type="character" w:customStyle="1" w:styleId="FooterChar">
    <w:name w:val="Footer Char"/>
    <w:uiPriority w:val="99"/>
    <w:locked/>
    <w:rsid w:val="00F56E14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"/>
    <w:uiPriority w:val="99"/>
    <w:rsid w:val="00F56E1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F56E14"/>
    <w:rPr>
      <w:rFonts w:ascii="Calibri" w:eastAsia="宋体" w:hAnsi="Calibri" w:cs="Calibri"/>
      <w:kern w:val="0"/>
      <w:sz w:val="18"/>
      <w:szCs w:val="18"/>
    </w:rPr>
  </w:style>
  <w:style w:type="character" w:customStyle="1" w:styleId="FooterChar1">
    <w:name w:val="Footer Char1"/>
    <w:basedOn w:val="a0"/>
    <w:uiPriority w:val="99"/>
    <w:semiHidden/>
    <w:locked/>
    <w:rsid w:val="00F56E14"/>
    <w:rPr>
      <w:sz w:val="18"/>
      <w:szCs w:val="18"/>
    </w:rPr>
  </w:style>
  <w:style w:type="character" w:customStyle="1" w:styleId="HeaderChar">
    <w:name w:val="Header Char"/>
    <w:uiPriority w:val="99"/>
    <w:semiHidden/>
    <w:locked/>
    <w:rsid w:val="00F56E14"/>
    <w:rPr>
      <w:rFonts w:ascii="Calibri" w:eastAsia="宋体" w:hAnsi="Calibri" w:cs="Calibri"/>
      <w:sz w:val="18"/>
      <w:szCs w:val="18"/>
    </w:rPr>
  </w:style>
  <w:style w:type="paragraph" w:styleId="a5">
    <w:name w:val="header"/>
    <w:basedOn w:val="a"/>
    <w:link w:val="Char0"/>
    <w:uiPriority w:val="99"/>
    <w:semiHidden/>
    <w:rsid w:val="00F56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56E14"/>
    <w:rPr>
      <w:rFonts w:ascii="Calibri" w:eastAsia="宋体" w:hAnsi="Calibri" w:cs="Calibri"/>
      <w:kern w:val="0"/>
      <w:sz w:val="18"/>
      <w:szCs w:val="18"/>
    </w:rPr>
  </w:style>
  <w:style w:type="character" w:customStyle="1" w:styleId="HeaderChar1">
    <w:name w:val="Header Char1"/>
    <w:basedOn w:val="a0"/>
    <w:uiPriority w:val="99"/>
    <w:semiHidden/>
    <w:locked/>
    <w:rsid w:val="00F56E14"/>
    <w:rPr>
      <w:sz w:val="18"/>
      <w:szCs w:val="18"/>
    </w:rPr>
  </w:style>
  <w:style w:type="character" w:customStyle="1" w:styleId="SubtitleChar">
    <w:name w:val="Subtitle Char"/>
    <w:uiPriority w:val="99"/>
    <w:locked/>
    <w:rsid w:val="00F56E14"/>
    <w:rPr>
      <w:rFonts w:ascii="Tw Cen MT" w:eastAsia="华文仿宋" w:hAnsi="Tw Cen MT" w:cs="Tw Cen MT"/>
      <w:i/>
      <w:iCs/>
      <w:spacing w:val="13"/>
      <w:kern w:val="0"/>
      <w:sz w:val="24"/>
      <w:szCs w:val="24"/>
      <w:lang w:eastAsia="en-US"/>
    </w:rPr>
  </w:style>
  <w:style w:type="paragraph" w:styleId="a6">
    <w:name w:val="Subtitle"/>
    <w:basedOn w:val="a"/>
    <w:next w:val="a"/>
    <w:link w:val="Char1"/>
    <w:uiPriority w:val="99"/>
    <w:qFormat/>
    <w:rsid w:val="00F56E14"/>
    <w:pPr>
      <w:widowControl/>
      <w:spacing w:after="600" w:line="600" w:lineRule="exact"/>
      <w:jc w:val="left"/>
    </w:pPr>
    <w:rPr>
      <w:rFonts w:ascii="Tw Cen MT" w:eastAsia="华文仿宋" w:hAnsi="Tw Cen MT" w:cs="Tw Cen MT"/>
      <w:i/>
      <w:iCs/>
      <w:spacing w:val="13"/>
      <w:kern w:val="0"/>
      <w:sz w:val="24"/>
      <w:szCs w:val="24"/>
      <w:lang w:eastAsia="en-US"/>
    </w:rPr>
  </w:style>
  <w:style w:type="character" w:customStyle="1" w:styleId="Char1">
    <w:name w:val="副标题 Char"/>
    <w:basedOn w:val="a0"/>
    <w:link w:val="a6"/>
    <w:uiPriority w:val="99"/>
    <w:rsid w:val="00F56E14"/>
    <w:rPr>
      <w:rFonts w:ascii="Tw Cen MT" w:eastAsia="华文仿宋" w:hAnsi="Tw Cen MT" w:cs="Tw Cen MT"/>
      <w:i/>
      <w:iCs/>
      <w:spacing w:val="13"/>
      <w:kern w:val="0"/>
      <w:sz w:val="24"/>
      <w:szCs w:val="24"/>
      <w:lang w:eastAsia="en-US"/>
    </w:rPr>
  </w:style>
  <w:style w:type="character" w:customStyle="1" w:styleId="SubtitleChar1">
    <w:name w:val="Subtitle Char1"/>
    <w:basedOn w:val="a0"/>
    <w:uiPriority w:val="99"/>
    <w:locked/>
    <w:rsid w:val="00F56E14"/>
    <w:rPr>
      <w:rFonts w:ascii="Cambria" w:hAnsi="Cambria" w:cs="Cambria"/>
      <w:b/>
      <w:bCs/>
      <w:kern w:val="28"/>
      <w:sz w:val="32"/>
      <w:szCs w:val="32"/>
    </w:rPr>
  </w:style>
  <w:style w:type="character" w:customStyle="1" w:styleId="TitleChar">
    <w:name w:val="Title Char"/>
    <w:uiPriority w:val="99"/>
    <w:locked/>
    <w:rsid w:val="00F56E14"/>
    <w:rPr>
      <w:rFonts w:ascii="Tw Cen MT" w:eastAsia="华文仿宋" w:hAnsi="Tw Cen MT" w:cs="Tw Cen MT"/>
      <w:spacing w:val="5"/>
      <w:kern w:val="0"/>
      <w:sz w:val="52"/>
      <w:szCs w:val="52"/>
      <w:lang w:eastAsia="en-US"/>
    </w:rPr>
  </w:style>
  <w:style w:type="paragraph" w:styleId="a7">
    <w:name w:val="Title"/>
    <w:basedOn w:val="a"/>
    <w:next w:val="a"/>
    <w:link w:val="Char2"/>
    <w:uiPriority w:val="99"/>
    <w:qFormat/>
    <w:rsid w:val="00F56E14"/>
    <w:pPr>
      <w:widowControl/>
      <w:pBdr>
        <w:bottom w:val="single" w:sz="4" w:space="1" w:color="auto"/>
      </w:pBdr>
      <w:spacing w:after="200"/>
      <w:jc w:val="left"/>
    </w:pPr>
    <w:rPr>
      <w:rFonts w:ascii="Tw Cen MT" w:eastAsia="华文仿宋" w:hAnsi="Tw Cen MT" w:cs="Tw Cen MT"/>
      <w:spacing w:val="5"/>
      <w:kern w:val="0"/>
      <w:sz w:val="52"/>
      <w:szCs w:val="52"/>
      <w:lang w:eastAsia="en-US"/>
    </w:rPr>
  </w:style>
  <w:style w:type="character" w:customStyle="1" w:styleId="Char2">
    <w:name w:val="标题 Char"/>
    <w:basedOn w:val="a0"/>
    <w:link w:val="a7"/>
    <w:uiPriority w:val="99"/>
    <w:rsid w:val="00F56E14"/>
    <w:rPr>
      <w:rFonts w:ascii="Tw Cen MT" w:eastAsia="华文仿宋" w:hAnsi="Tw Cen MT" w:cs="Tw Cen MT"/>
      <w:spacing w:val="5"/>
      <w:kern w:val="0"/>
      <w:sz w:val="52"/>
      <w:szCs w:val="52"/>
      <w:lang w:eastAsia="en-US"/>
    </w:rPr>
  </w:style>
  <w:style w:type="character" w:customStyle="1" w:styleId="TitleChar1">
    <w:name w:val="Title Char1"/>
    <w:basedOn w:val="a0"/>
    <w:uiPriority w:val="99"/>
    <w:locked/>
    <w:rsid w:val="00F56E14"/>
    <w:rPr>
      <w:rFonts w:ascii="Cambria" w:hAnsi="Cambria" w:cs="Cambria"/>
      <w:b/>
      <w:bCs/>
      <w:sz w:val="32"/>
      <w:szCs w:val="32"/>
    </w:rPr>
  </w:style>
  <w:style w:type="paragraph" w:customStyle="1" w:styleId="10">
    <w:name w:val="无间隔1"/>
    <w:basedOn w:val="a"/>
    <w:link w:val="Char3"/>
    <w:uiPriority w:val="99"/>
    <w:rsid w:val="00F56E14"/>
    <w:pPr>
      <w:widowControl/>
      <w:jc w:val="left"/>
    </w:pPr>
    <w:rPr>
      <w:rFonts w:ascii="Tw Cen MT" w:eastAsia="华文仿宋" w:hAnsi="Tw Cen MT" w:cs="Tw Cen MT"/>
      <w:kern w:val="0"/>
      <w:sz w:val="22"/>
      <w:szCs w:val="22"/>
      <w:lang w:eastAsia="en-US"/>
    </w:rPr>
  </w:style>
  <w:style w:type="character" w:customStyle="1" w:styleId="Char3">
    <w:name w:val="无间隔 Char"/>
    <w:basedOn w:val="a0"/>
    <w:link w:val="10"/>
    <w:uiPriority w:val="99"/>
    <w:locked/>
    <w:rsid w:val="00F56E14"/>
    <w:rPr>
      <w:rFonts w:ascii="Tw Cen MT" w:eastAsia="华文仿宋" w:hAnsi="Tw Cen MT" w:cs="Tw Cen MT"/>
      <w:kern w:val="0"/>
      <w:sz w:val="22"/>
      <w:lang w:eastAsia="en-US"/>
    </w:rPr>
  </w:style>
  <w:style w:type="paragraph" w:customStyle="1" w:styleId="11">
    <w:name w:val="引用1"/>
    <w:basedOn w:val="a"/>
    <w:next w:val="a"/>
    <w:link w:val="Char4"/>
    <w:uiPriority w:val="99"/>
    <w:rsid w:val="00F56E14"/>
    <w:pPr>
      <w:widowControl/>
      <w:spacing w:before="200" w:line="600" w:lineRule="exact"/>
      <w:ind w:left="360" w:right="360"/>
      <w:jc w:val="left"/>
    </w:pPr>
    <w:rPr>
      <w:rFonts w:ascii="Tw Cen MT" w:eastAsia="华文仿宋" w:hAnsi="Tw Cen MT" w:cs="Tw Cen MT"/>
      <w:i/>
      <w:iCs/>
      <w:kern w:val="0"/>
      <w:sz w:val="22"/>
      <w:szCs w:val="22"/>
      <w:lang w:eastAsia="en-US"/>
    </w:rPr>
  </w:style>
  <w:style w:type="character" w:customStyle="1" w:styleId="Char4">
    <w:name w:val="引用 Char"/>
    <w:basedOn w:val="a0"/>
    <w:link w:val="11"/>
    <w:uiPriority w:val="99"/>
    <w:locked/>
    <w:rsid w:val="00F56E14"/>
    <w:rPr>
      <w:rFonts w:ascii="Tw Cen MT" w:eastAsia="华文仿宋" w:hAnsi="Tw Cen MT" w:cs="Tw Cen MT"/>
      <w:i/>
      <w:iCs/>
      <w:kern w:val="0"/>
      <w:sz w:val="22"/>
      <w:lang w:eastAsia="en-US"/>
    </w:rPr>
  </w:style>
  <w:style w:type="paragraph" w:customStyle="1" w:styleId="12">
    <w:name w:val="明显引用1"/>
    <w:basedOn w:val="a"/>
    <w:next w:val="a"/>
    <w:link w:val="Char5"/>
    <w:uiPriority w:val="99"/>
    <w:rsid w:val="00F56E14"/>
    <w:pPr>
      <w:widowControl/>
      <w:pBdr>
        <w:bottom w:val="single" w:sz="4" w:space="1" w:color="auto"/>
      </w:pBdr>
      <w:spacing w:before="200" w:after="280" w:line="600" w:lineRule="exact"/>
      <w:ind w:left="1008" w:right="1152"/>
    </w:pPr>
    <w:rPr>
      <w:rFonts w:ascii="Tw Cen MT" w:eastAsia="华文仿宋" w:hAnsi="Tw Cen MT" w:cs="Tw Cen MT"/>
      <w:b/>
      <w:bCs/>
      <w:i/>
      <w:iCs/>
      <w:kern w:val="0"/>
      <w:sz w:val="22"/>
      <w:szCs w:val="22"/>
      <w:lang w:eastAsia="en-US"/>
    </w:rPr>
  </w:style>
  <w:style w:type="character" w:customStyle="1" w:styleId="Char5">
    <w:name w:val="明显引用 Char"/>
    <w:basedOn w:val="a0"/>
    <w:link w:val="12"/>
    <w:uiPriority w:val="99"/>
    <w:locked/>
    <w:rsid w:val="00F56E14"/>
    <w:rPr>
      <w:rFonts w:ascii="Tw Cen MT" w:eastAsia="华文仿宋" w:hAnsi="Tw Cen MT" w:cs="Tw Cen MT"/>
      <w:b/>
      <w:bCs/>
      <w:i/>
      <w:iCs/>
      <w:kern w:val="0"/>
      <w:sz w:val="22"/>
      <w:lang w:eastAsia="en-US"/>
    </w:rPr>
  </w:style>
  <w:style w:type="character" w:styleId="a8">
    <w:name w:val="Strong"/>
    <w:basedOn w:val="a0"/>
    <w:uiPriority w:val="99"/>
    <w:qFormat/>
    <w:rsid w:val="00F56E14"/>
    <w:rPr>
      <w:b/>
      <w:bCs/>
    </w:rPr>
  </w:style>
  <w:style w:type="character" w:styleId="a9">
    <w:name w:val="Emphasis"/>
    <w:basedOn w:val="a0"/>
    <w:uiPriority w:val="99"/>
    <w:qFormat/>
    <w:rsid w:val="00F56E14"/>
    <w:rPr>
      <w:b/>
      <w:bCs/>
      <w:i/>
      <w:iCs/>
      <w:spacing w:val="10"/>
      <w:shd w:val="clear" w:color="auto" w:fill="auto"/>
    </w:rPr>
  </w:style>
  <w:style w:type="paragraph" w:customStyle="1" w:styleId="13">
    <w:name w:val="列出段落1"/>
    <w:basedOn w:val="a"/>
    <w:uiPriority w:val="99"/>
    <w:rsid w:val="00F56E14"/>
    <w:pPr>
      <w:widowControl/>
      <w:spacing w:after="200" w:line="600" w:lineRule="exact"/>
      <w:ind w:left="720"/>
      <w:jc w:val="left"/>
    </w:pPr>
    <w:rPr>
      <w:rFonts w:ascii="Tw Cen MT" w:eastAsia="华文仿宋" w:hAnsi="Tw Cen MT" w:cs="Tw Cen MT"/>
      <w:kern w:val="0"/>
      <w:sz w:val="22"/>
      <w:szCs w:val="22"/>
      <w:lang w:eastAsia="en-US"/>
    </w:rPr>
  </w:style>
  <w:style w:type="paragraph" w:customStyle="1" w:styleId="TOC1">
    <w:name w:val="TOC 标题1"/>
    <w:basedOn w:val="1"/>
    <w:next w:val="a"/>
    <w:uiPriority w:val="99"/>
    <w:semiHidden/>
    <w:rsid w:val="00F56E14"/>
    <w:pPr>
      <w:outlineLvl w:val="9"/>
    </w:pPr>
  </w:style>
  <w:style w:type="character" w:customStyle="1" w:styleId="14">
    <w:name w:val="不明显强调1"/>
    <w:uiPriority w:val="99"/>
    <w:rsid w:val="00F56E14"/>
    <w:rPr>
      <w:i/>
      <w:iCs/>
    </w:rPr>
  </w:style>
  <w:style w:type="character" w:customStyle="1" w:styleId="15">
    <w:name w:val="明显强调1"/>
    <w:uiPriority w:val="99"/>
    <w:rsid w:val="00F56E14"/>
    <w:rPr>
      <w:b/>
      <w:bCs/>
    </w:rPr>
  </w:style>
  <w:style w:type="character" w:customStyle="1" w:styleId="16">
    <w:name w:val="不明显参考1"/>
    <w:uiPriority w:val="99"/>
    <w:rsid w:val="00F56E14"/>
    <w:rPr>
      <w:smallCaps/>
    </w:rPr>
  </w:style>
  <w:style w:type="character" w:customStyle="1" w:styleId="17">
    <w:name w:val="明显参考1"/>
    <w:uiPriority w:val="99"/>
    <w:rsid w:val="00F56E14"/>
    <w:rPr>
      <w:smallCaps/>
      <w:spacing w:val="5"/>
      <w:u w:val="single"/>
    </w:rPr>
  </w:style>
  <w:style w:type="character" w:customStyle="1" w:styleId="18">
    <w:name w:val="书籍标题1"/>
    <w:uiPriority w:val="99"/>
    <w:rsid w:val="00F56E14"/>
    <w:rPr>
      <w:i/>
      <w:iCs/>
      <w:smallCaps/>
      <w:spacing w:val="5"/>
    </w:rPr>
  </w:style>
  <w:style w:type="table" w:styleId="aa">
    <w:name w:val="Table Grid"/>
    <w:basedOn w:val="a1"/>
    <w:uiPriority w:val="99"/>
    <w:rsid w:val="00F56E14"/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6"/>
    <w:uiPriority w:val="99"/>
    <w:semiHidden/>
    <w:unhideWhenUsed/>
    <w:rsid w:val="00F56E14"/>
    <w:rPr>
      <w:sz w:val="16"/>
      <w:szCs w:val="16"/>
    </w:rPr>
  </w:style>
  <w:style w:type="character" w:customStyle="1" w:styleId="Char6">
    <w:name w:val="批注框文本 Char"/>
    <w:basedOn w:val="a0"/>
    <w:link w:val="ab"/>
    <w:uiPriority w:val="99"/>
    <w:semiHidden/>
    <w:rsid w:val="00F56E14"/>
    <w:rPr>
      <w:rFonts w:ascii="Calibri" w:eastAsia="宋体" w:hAnsi="Calibri" w:cs="Calibri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1851</Words>
  <Characters>10553</Characters>
  <Application>Microsoft Office Word</Application>
  <DocSecurity>0</DocSecurity>
  <Lines>87</Lines>
  <Paragraphs>24</Paragraphs>
  <ScaleCrop>false</ScaleCrop>
  <Company>CHINA</Company>
  <LinksUpToDate>false</LinksUpToDate>
  <CharactersWithSpaces>12380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2018-08-22T07:31:00Z</dcterms:created>
  <dcterms:modified xsi:type="dcterms:W3CDTF">2018-08-22T07:32:00Z</dcterms:modified>
</cp:coreProperties>
</file>