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138" w:rsidRDefault="00162953">
      <w:pPr>
        <w:spacing w:line="600" w:lineRule="exac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附件3</w:t>
      </w:r>
    </w:p>
    <w:p w:rsidR="00B42138" w:rsidRDefault="00162953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华文中宋" w:hAnsi="Times New Roman" w:cs="Times New Roman"/>
          <w:b/>
          <w:bCs/>
          <w:color w:val="000000"/>
          <w:sz w:val="36"/>
          <w:szCs w:val="36"/>
        </w:rPr>
        <w:t>20</w:t>
      </w:r>
      <w:r w:rsidR="004A0806">
        <w:rPr>
          <w:rFonts w:ascii="Times New Roman" w:eastAsia="华文中宋" w:hAnsi="Times New Roman" w:cs="Times New Roman" w:hint="eastAsia"/>
          <w:b/>
          <w:bCs/>
          <w:color w:val="000000"/>
          <w:sz w:val="36"/>
          <w:szCs w:val="36"/>
        </w:rPr>
        <w:t>21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pPr w:leftFromText="180" w:rightFromText="180" w:vertAnchor="text" w:horzAnchor="page" w:tblpX="831" w:tblpY="328"/>
        <w:tblOverlap w:val="never"/>
        <w:tblW w:w="15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 w:rsidR="00B42138" w:rsidTr="00277DEF">
        <w:trPr>
          <w:trHeight w:val="20"/>
        </w:trPr>
        <w:tc>
          <w:tcPr>
            <w:tcW w:w="640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中央财政补</w:t>
            </w:r>
          </w:p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贴额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元）</w:t>
            </w:r>
          </w:p>
        </w:tc>
        <w:tc>
          <w:tcPr>
            <w:tcW w:w="1535" w:type="dxa"/>
            <w:vAlign w:val="center"/>
          </w:tcPr>
          <w:p w:rsidR="00B42138" w:rsidRDefault="0016295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单体幅宽35cm及以上,3-4铧翻转犁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单体幅宽≥35cm;铧体个数3-4铧;液压翻转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单体幅宽35-45cm,5-6铧翻转犁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35cm≤单体幅宽&lt;45cm;铧体个数5-6铧;液压翻转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4720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单体幅宽35-45cm,7铧及以上翻转犁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35cm≤单体幅宽&lt;45cm;铧体个数≥7铧;液压翻转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5050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单体幅宽45cm及以上,5-6铧翻转犁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单体幅宽≥45cm;铧体个数5-6铧;液压翻转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单体幅宽45cm及以上,7铧及以上翻转犁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单体幅宽≥45cm;铧体个数≥7铧;液压翻转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 铲凿铲式深松机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2、3 个;深松铲结构型式:凿铲式;铲间距≥180mm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铲凿铲式深松机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4、5 个;深松铲结构型式:凿铲式;铲间距≥180mm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铲及以上凿铲式深松机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6 个及以上;深松铲结构型式:凿铲式;铲间距≥180mm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 铲偏柱式、全方位式深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2、3 个;深松铲结构型式:偏柱式或全方位式;铲间距≥330mm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铲偏柱式、全方位式深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4、5 个;深松铲结构型式:偏柱式或全方位式;铲间距≥330mm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铲及以上偏柱式、全方位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式深松机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深松部件 6 个及以上;深松铲结构型式:偏柱式或全方位式;铲间距≥330mm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功率4.0kW及以上微耕机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筑埂高度25cm及以上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筑埂高度≥25cm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幅宽&lt;1.8m埋茬起浆机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幅宽&lt;1.8m,驱动型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1.8m≤幅宽&lt;2.2m埋茬起浆机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1.8m≤幅宽&lt;2.2m,驱动型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2.2m≤幅宽&lt;2.6m埋茬起浆机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2.2m≤幅宽&lt;2.6m,驱动型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2.6m≤幅宽&lt;3.2m埋茬起浆机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2.6m≤幅宽&lt;3.2m,驱动型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幅宽3.2m及以上埋茬起浆机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幅宽3.2m及以上,驱动型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小粒种子播种机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3-5行气力式小粒种子播种机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3行≤播种行数≤5行;施肥、播种等复式作业;排种器:气力式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小粒种子播种机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6行及以上气力式小粒种子播种机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播种行数≥6行;施肥、播种等复式作业;排种器:气力式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4290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2-3行马铃薯播种机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2行≤播种行数≤3行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4行及以上马铃薯播种机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播种行数≥4行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 行免耕精量播种机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 2、3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行免耕精量播种机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 4、5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行及以上免耕精量播种机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精量排种器;播种行数≥6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 行牵引式免耕穴播机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 2、3 行;牵引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行牵引式免耕穴播机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 4、5 行;牵引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行及以上牵引式免耕穴播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精量排种器;播种行数≥6 行;牵引式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 行高性能牵引式免耕穴播机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牵引式;单体结构质量≥130kg,2行整机结构质量≥850kg,3行整机结构质量≥1200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行高性能牵引式免耕穴播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牵引式;单体结构质量≥130kg,4行整机结构质</w:t>
            </w:r>
            <w:r>
              <w:rPr>
                <w:rFonts w:ascii="仿宋_GB2312" w:eastAsia="仿宋_GB2312" w:hint="eastAsia"/>
                <w:szCs w:val="21"/>
              </w:rPr>
              <w:lastRenderedPageBreak/>
              <w:t>量≥1700kg,5行整机结构质量≥2100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29300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行及以上高性能牵引式免耕穴播机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牵引式;单体结构质量≥130kg,整机结构质量≥2400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42800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秧盘播种成套设备(含床土处理)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生产率500(盘/h)及以上秧盘播种成套设备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含铺底土、播种、洒水、覆土功能;生产率≥500(盘/h)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秧盘播种成套设备(含床土处理)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自走式秧盘育秧播种机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含铺底土、播种、覆土、自动摆盘功能;工作效率:≥800盘/h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行手扶步进式水稻插秧机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手扶步进式;4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行及以上手扶步进式水稻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插秧机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手扶步进式;6 行及以上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 行及以上独轮乘坐式水稻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插秧机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独轮乘坐式;6 行及以上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 行四轮乘坐式水稻插秧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四轮乘坐式;4、5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6-7 行四轮乘坐式水稻插秧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四轮乘坐式;6、7 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 行及以上四轮乘坐式水稻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插秧机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四轮乘坐式;8 行及以上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37400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1-2行秧苗移栽机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行数1、2行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3行及以上秧苗移栽机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行数≥3行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42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1-2行自走式秧苗移栽机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自走式,行数1、2行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3行及以上自走式秧苗移栽机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自走式,行数≥3行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6-7行四轮乘坐式水稻钵苗移栽机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四轮乘坐式;6、7行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8行及以上四轮乘坐式水稻钵苗移栽机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四轮乘坐式;8行及以上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38600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6行及以上电控螺旋推进式水稻侧深施肥装置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工作行数≥6行,电控螺旋推进精准施肥;具备插秧施肥同步控制装置、施肥量调节装置、漏施堵塞报警装置、控制屏显示装置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6行及以上气吹式水稻侧深施肥装置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工作行数≥6行;采用外槽轮风送施肥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6行及以上机械螺旋推进式水稻侧深施肥装置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工作行数≥6行;采用机械螺杆强制施肥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3140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摆动式撒肥机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摆动式,肥箱容积≥200L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3270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自走式固态肥抛洒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≤料箱容积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及以上自走式固态肥抛洒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料箱容积为≥3m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非自走式固态肥抛洒机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料箱容积≥0.5m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自走式液态肥撒施机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罐体容积≥6m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非自走式液态肥撒施机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罐体容积≥6m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中耕机械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田园管理机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功率4.0kW及以上田园管理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18m 及以上牵引式喷杆喷雾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喷杆长度≥18m;药箱≥2000L;型式:牵引式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18-50 马力自走式四轮转向喷杆喷雾机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 马力≤功率＜50 马力;药箱≥400L;喷杆长度≥8m;离地间隙≥0.8m;型式:自走式;四轮驱动;四轮转向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50-100 马力自走式四轮转向喷杆喷雾机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 马力≤功率＜100 马力;药箱≥700L;喷杆长度≥10m;离地间隙≥0.8m;型式:自走式;四轮驱动;四轮转向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59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 马力及以上自走式四轮转向喷杆喷雾机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功率≥100 马力;药箱≥1000L;喷杆长度≥20m;离地间隙≥0.8m;型式:自走式;四轮驱动;四轮转向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10-20L 多旋翼植保无人驾驶航空器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10L≤药液箱额定容量＜20L;多旋翼;电动、油动、油电混动;电动须配置智能电池系统,含智能电池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20-30L 多旋翼植保无人驾驶航空器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20L≤药液箱额定容量＜30L;多旋翼;电动、油动、油电混动;电动须配置智能电池系统,含智能电池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30L 及以上多旋翼植保无人驾驶航空器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药液箱额定容量≥30L;多旋翼;电动、油动、油电混动;电动须配置智能电池系统,含智能电池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15L-25L 单旋翼植保无人驾驶航空器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15L≤药液箱额定容量＜25L;单旋翼;电动、油动、油电混动;电动须配置智能电池系统,含智能电池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25L 及以上单旋翼植保无人驾驶航空器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药液箱额定容量≥25L;单旋翼;电动、油动、油电混动;电动须配置智能电池系统,含智能电池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2-3kg/s 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2kg/s≤喂入量＜3kg/s;自走轮式;喂入方式:全喂入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3-4kg/s 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3kg/s≤喂入量＜4kg/s;自走轮式;喂入方式:全喂入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4-5kg/s 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4kg/s≤喂入量＜5kg/s;自走轮式;喂入方式:全喂入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68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5-6kg/s 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5kg/s≤喂入量＜6kg/s;自走轮式;喂入方式:全喂入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6-7kg/s 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6kg/s≤喂入量＜7kg/s;自走轮式;喂入方式:全喂入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7kg/s 及以上自走轮式谷物联合收割机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喂入量≥7kg/s;自走轮式;喂入方式:全喂入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0.6-1kg/s 自走履带式谷物联合收割机（全喂入）,包含 1-1.5kg/s 自走履带式水稻联合收割机（全喂入）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0.6kg/s≤喂入量＜1kg/s,1kg/s≤水稻机喂入量＜1.5kg/s;自走履带式;喂入方式:全喂入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1-1.5kg/s 自走履带式谷物联合收割机（全喂入）,包含 1.5-2.1kg/s 自走履带式水稻联合收割机（全喂入）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1kg/s≤喂入量＜1.5kg/s,1.5kg/s≤水稻机喂入量＜2.1kg/s;自走履带式;喂入方式:全喂入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1.5-2.1kg/s 自走履带式谷物联合收割机（全喂入）,包含 2.1-3kg/s 自走履带式水稻联合收割机（全喂入）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1.5kg/s≤喂入量＜2.1kg/s,2.1kg/s≤水稻机喂入量＜3kg/s;自走履带式;喂入方式:全喂入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2.1-3kg/s 自走履带式谷物联合收割机（全喂入）,包含 3-4kg/s 自走履带式水稻联合收割机（全喂入）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2.1kg/s≤喂入量＜3kg/s,3kg/s≤水稻机喂入量＜4kg/s;自走履带式;喂入方式:全喂入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3-4kg/s 自走履带式谷物联合收割机（全喂入）,包含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4kg/s 及以上自走履带式水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稻联合收割机（全喂入）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3kg/s≤喂入量＜4kg/s,水稻机喂入量≥4kg/s;自走履带式;喂入方式:全喂入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自走履带式谷物联合收割机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（全喂入）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4kg/s 及以上自走履带式谷物联合收割机（全喂入）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喂入量≥4kg/s;自走履带式;喂入方式:全喂入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77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 35 马力及以上半喂入联合收割机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收获行数:3 行;喂入方式:半喂入;功率≥35 马力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行及以上 35 马力及以上半喂入联合收割机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收获行数≥4 行;喂入方式:半喂入;功率≥35 马力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 行摘穗剥皮型自走式玉米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 行割台;1m≤幅宽＜1.6m;型式:自走式（摘穗剥皮型）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行摘穗剥皮型自走式玉米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行割台;1.6m≤幅宽＜2.2m;型式:自走式（摘穗剥皮型）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40460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行摘穗剥皮型自走式玉米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行割台;2.2m≤幅宽＜2.8m;型式:自走式（摘穗剥皮型）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54410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行及以上摘穗剥皮型自走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式玉米收获机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行及以上割台;幅宽≥2.8m;型式:自走式（摘穗剥皮型）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74400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行及以上摘穗剥皮型自走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式玉米收获机（窄行距）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行及以上割台;1m≤幅宽＜1.6m;型式:自走式（摘穗剥皮型）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行及以上摘穗剥皮型自走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式玉米收获机（窄行距）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行及以上割台;1.6m≤幅宽＜2.2m;型式:自走式（摘穗剥皮型）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行及以上摘穗剥皮型自走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式玉米收获机（窄行距）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行及以上割台;2.2m≤幅宽＜2.8m;型式:自走式（摘穗剥皮型）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55800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 行穗茎兼收玉米收获机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 行割台;1m≤工作幅宽＜1.6m;型式:自走式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行穗茎兼收玉米收获机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行割台;1.6m≤工作幅宽＜2.2m;型式:自走式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行穗茎兼收玉米收获机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行割台;2.2m≤工作幅宽＜2.8m;型式:自走式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行及以上穗茎兼收玉米收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行及以上割台;工作幅宽≥2.8m;型式:自走式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79700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行及以上穗茎兼收玉米收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行及以上割台;1m≤幅宽＜1.6m;型式:自走式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穗茎兼收玉米收获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4 行及以上穗茎兼收玉米收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4 行及以上割台;1.6m≤幅宽＜2.2m;型式:自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45700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92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行及以上穗茎兼收玉米收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行及以上割台;2.2m≤幅宽＜2.8m;型式:自走式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行及以下自走式玉米籽粒联合收获机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 行及以上割台;工作幅宽＜2.2m;型式:自走式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行自走式玉米籽粒联合收获机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 行割台;2.2m≤工作幅宽＜2.8m;型式:自走式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行及以上自走式玉米籽粒联合收获机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行及以上割台;工作幅宽≥2.8m;型式:自走式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72100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行及以上自走式玉米籽粒联合收获机（窄行距）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 行及以上割台;2.2m≤工作幅宽＜2.8m;型式:自走式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自走式、工作幅宽≥1.8m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0.7-1m分段式薯类收获机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分段收获;0.7m≤作业幅宽&lt;1m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1-1.5m分段式薯类收获机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分段收获;1m≤作业幅宽&lt;1.5m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4130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1.5m及以上分段式薯类收获机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分段收获;作业幅宽≥1.5m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联合收获,包含挖掘、抖土、分离、集装等功能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幅宽0.8-1.5米花生收获机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0.8米≤幅宽&lt;1.5米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幅宽1.5米及以上花生收获机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幅宽≥1.5米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含挖掘、分离、摘果、集箱等功能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106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自走式花生捡拾收获机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捡拾幅宽≥2.5m,自走式,具有捡拾、分离、摘果以及秧蔓破碎、秧蔓收集等功能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搂草机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5.4m以下侧向指盘式搂草机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搂幅宽度&lt;5.4m;侧向指盘式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搂草机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5.4m及以上侧向指盘式液压搂草机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搂幅宽度≥5.4m;液压折叠式;侧向指盘式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0.102m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方捆;压缩室截面积（宽×高）≥0.102m2;打结器数量≥2 个;捡拾宽度≥0.7m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0.1344m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方捆;压缩室截面积（宽×高）≥0.1344m2;打结器数量≥2 个;捡拾宽度≥1.2m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0.154m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方捆;压缩室截面积（宽×高）≥0.154m2;打结器数量≥2 个;捡拾宽度≥1.7m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0.162m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方捆;压缩室截面积（宽×高）≥0.162m2;打结器数量≥2 个;捡拾宽度≥2.2m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0.1998m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及以上方捆捡拾压捆机（3 个及以上打结器）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方捆;压缩室截面积（宽×高）≥0.1998m2;打结器数量≥3 个;捡拾宽度≥2.2m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0.5m 及上圆捆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圆捆;压缩室直径≥0.5m;压缩室宽度≥0.7mm;捡拾宽度≥0.7m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0.8m 及以上圆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圆捆;压缩室直径≥0.8m;压缩室宽度≥0.8m;捡拾宽度≥1.2m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1m 及以上圆捆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圆捆;压缩室直径≥1m;压缩室宽度≥1m;捡拾宽度≥1.7m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1.2m 及以上圆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圆捆;压缩室直径≥1.2m;压缩室宽度≥1.2m;捡拾宽度≥2.2m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118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0.52m 及以上圆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捆压捆机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圆捆;压缩室直径≥0.52m;压缩室宽度≥0.52m;功率≥4kW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0.081m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方捆;压缩室截面积（宽×高）≥0.081m2;7.5kW≤功率＜15kW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0.105m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及以上方捆压捆机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方捆;压缩室截面积（宽×高）≥0.105m2;功率≥15kW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0.0936m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及以上无打结器自动套袋方捆捡拾压捆机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方捆;压缩室截面积（宽×高）≥0.0936m2;捡拾宽度≥1.7m;自动套袋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压缩室截面积（宽×高）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0.1344m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及以上无打结器自动套袋方捆捡拾压捆机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方捆;压缩室截面积（宽×高）≥0.1344m2;捡拾宽度≥2.2m;自动套袋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压缩室直径 1m 及以上带割台自走式圆捆打捆机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圆捆;自走式;捡拾宽度≥1.7m;压缩室直径≥1m;压缩室宽度≥0.85m;捡拾器结构型式:圆盘式割台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圆草捆包膜机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圆草捆包膜机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单一包膜作业,包膜圆草捆直径≥40cm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1440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圆草捆包膜机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圆草捆打捆包膜机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打捆、包膜复式作业,打捆直径≥60cm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0.9-1.1m 悬挂单圆盘式青饲料收获机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悬挂单圆盘式;0.9m≤割幅＜1.1m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3390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1.1m 及以上悬挂单圆盘式青饲料收获机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悬挂单圆盘式;割幅≥1.1m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0.9-1.1m 悬挂双圆盘式青饲料收获机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悬挂双圆盘式;0.9m≤割幅＜1.1m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1.1-2.1m 悬挂双圆盘式青饲料收获机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悬挂双圆盘式;1.1m≤割幅＜2.1m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2.1-2.2m 悬挂双圆盘式青饲料收获机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悬挂双圆盘式;2.1m≤割幅＜2.2m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131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2.2m 及以上悬挂双圆盘式青饲料收获机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悬挂双圆盘式;割幅≥2.2m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1.6-1.9m 悬挂其他式青饲料收获机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悬挂其他式;1.6m≤割幅＜1.9m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1.9-2.2m 悬挂其他式青饲料收获机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悬挂其他式;1.9m≤割幅＜2.2m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2.2m 及以上悬挂其他式青饲料收获机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悬挂其他式;割幅≥2.2m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1.1m 及以上牵引式青饲料收获机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牵引式;割幅≥1.1m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2-2.6m 自走圆盘式青饲料收获机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自走圆盘式;2m≤割幅＜2.6m;籽粒破碎机构:无或非对辊式;配套发动机功率≥110kW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2-2.6m 自走圆盘式青饲料收获机,带对辊式籽粒破碎机构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自走圆盘式;2m≤割幅＜2.6m,籽粒破碎机构:对辊式;配套发动机功率≥115kW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73700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2.6m 及以上自走圆盘式青饲料收获机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自走圆盘式;割幅≥2.6m,籽粒破碎机构:无或非对辊式;配套发动机功率≥130kW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2.6m 及以上自走圆盘式青饲料收获机,带对辊式籽粒破碎机构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自走圆盘式;割幅≥2.6m,籽粒破碎机构:对辊式;配套发动机功率≥150kW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1.8-2.2m 自走其他式青饲料收获机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自走其他式;1.8m≤割幅＜2.2m,籽粒破碎机构:无或非对辊式;配套发动机功率≥90kW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1.8-2.2m 自走其他式青饲料收获机,带对辊式籽粒破碎机构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自走其他式;1.8m≤割幅＜2.2m,籽粒破碎机构:对辊式;配套发动机功率≥105kW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51300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2.2-2.6m 自走其他式青饲料收获机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自走其他式;2.2m≤割幅＜2.6m,籽粒破碎机构:无或非对辊式;配套发动机功率≥115kW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53300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2.2-2.6m 自走其他式青饲料收获机,带对辊式籽粒破碎机构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自走其他式;2.2m≤割幅＜2.6m,籽粒破碎机构:对辊式;配套发动机功率≥115kW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59300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144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2.6-2.9m 自走其他式青饲料收获机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自走其他式;2.6m≤割幅＜2.9m,籽粒破碎机构:无或非对辊式;配套发动机功率≥150kW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2.6-2.9m 自走其他式青饲料收获机,带对辊式籽粒破碎机构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自走其他式;2.6m≤割幅＜2.9m,籽粒破碎机构:对辊式;配套发动机功率≥ 150kW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69600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2.9m 及以上自走其他式青饲料收获机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自走其他式;割幅≥2.9m,籽粒破碎机构:无或非对辊式;配套发动机功率≥190kW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95900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2.9m 及以上自走其他式青饲料收获机,带对辊式籽粒破碎机构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自走其他式;割幅≥2.9m,籽粒破碎机构:对辊式;配套发动机功率≥215kW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1-1.5m 秸秆粉碎还田机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1m≤作业幅宽＜1.5m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1.5-2m 秸秆粉碎还田机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1.5m≤作业幅宽＜2m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2-2.5m 秸秆粉碎还田机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2m≤作业幅宽＜2.5m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2.5m 及以上秸秆粉碎还田机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作业幅宽≥2.5m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花生摘果机,配套动力3-7kW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花生摘果机,3kW≤配套动力&lt;7kW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花生摘果机,配套动力7-11kW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花生摘果机,7kW≤配套动力&lt;11kW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花生摘果机,配套动力11kW及以上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花生摘果机,配套动力≥11kW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风筛清选机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生产率25t/h及以上风筛清选机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小时产量≥25吨风筛清选机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重力清选机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生产率25t/h及以上重力清选机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小时产量≥25吨重力清选机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清选机械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窝眼清选机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生产率25t/h及以上窝眼清选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小时产量≥25吨窝眼清选机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158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复式清选机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生产率25t/h及以上复式清选机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小时产量≥25吨复式清选机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批处理量 30t 以下循环式谷物烘干机（移动式）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移动式,10t≤批处理量＜30t;循环式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批处理量 30t 及以上循环式谷物烘干机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批处理量≥30t;循环式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46900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处理量 100t/d 及以上连续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式谷物烘干机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处理量≥100t/d;连续式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3-5t 平床式谷物烘干机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3t≤装载量＜5t;平床式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5t 及以上平床式谷物烘干机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装载量≥5t;平床式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容积15M3及以上果蔬烘干机(整体脱水)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容积≥15M3;整体脱水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批处理量10-20t果蔬烘干机(表面烘干)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10t≤批处理量&lt;20t;表面烘干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生产率1.5-3T/h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1.5T/h≤生产率&lt;3T/h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生产率3-10T/h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3T/h≤生产率&lt;10T/h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生产率10T/h以上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生产率≥10T/h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水果清洗机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5t/h及以上水果清洗机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生产率≥5t/h水果清洗机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水果打蜡机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生产率≥3t/h的打蜡机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生产率≥3t/h;提升机构、清洗烘干机、打蜡机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毛刷辊长度2.5m及以上蔬菜清洗机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毛刷辊长度≥2.5m蔬菜清洗机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172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3t/h以上花生脱壳机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生产率≥3t/h(含自动上料、除杂设备)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配套功率≥2.2kW,生产率≥250Kg/h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配套功率≥2.2kW,生产率≥250Kg/h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管径65mm以下卷盘式喷灌机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卷盘式;管径&lt;65mm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管径65-75mm卷盘式喷灌机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卷盘式;65mm≤管径&lt;75mm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管径75-85mm卷盘式喷灌机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卷盘式;75mm≤管径&lt;85mm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管径85mm及以上卷盘式喷灌机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卷盘式;管径≥85mm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中心支轴式喷灌机或者平移式喷灌机(每跨≥50m)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6—9t/h铡草机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6t/h≤生产率＜9t/h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9—15t/h铡草机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9t/h≤生产率＜15t/h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15—20t/h铡草机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15t/h≤生产率＜20t/h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20t/h及以上铡草机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生产率≥20t/h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青贮切碎机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6—9t/h青贮切碎机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6t/h≤生产率＜9t/h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185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9—15t/h青贮切碎机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9t/h≤生产率＜15t/h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15—20t/h青贮切碎机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15t/h≤生产率＜20t/h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20t/h及以上青贮切碎机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生产率≥20t/h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10-15t/h揉丝机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10≤生产率(t/h)&lt;15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15t/h及以上揉丝机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生产率(t/h)≥15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饲料(草)粉碎机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400-550mm饲料粉碎机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400mm≤转子直径&lt;550mm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690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饲料(草)粉碎机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550mm及以上饲料粉碎机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转子直径≥550mm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及以上立式混合机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混合室容积≥2m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;立式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及以上卧式（单轴）混合机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混合室容积≥2m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;卧式（单轴）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194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以下立式混合机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混合室容积＜2m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;立式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以下卧式（单轴）混合机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混合室容积＜2m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;卧式（单轴）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卧式（双轴）混合机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卧式（双轴）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平模直径≥200mm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环模直径200-250mm颗粒饲料压制机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200mm≤环模直径&lt;250mm,电机功率&lt;17kW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环模直径250mm及以上颗粒饲料压制机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环模直径≥250mm,电机功率≥17kW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9950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4-9m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饲料全混合日粮制备机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≤搅拌室容积＜9m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9-12m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饲料全混合日粮制备机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≤搅拌室容积＜12m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及以上饲料全混合日粮制备机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搅拌室容积≥12m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孵化机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10000-50000枚孵化机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10000枚≤蛋容量&lt;50000枚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孵化机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50000枚及以上孵化机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蛋容量≥50000枚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205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螺旋喂料机输送长度50M及以下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含料塔,输送长度≤50m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链条式送料机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链条式送料机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青贮取料机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自走式;1400mm≤取料宽度≤1800mm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7740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50-100m索盘式送料机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索盘式;50m≤送料长度&lt;100m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100m及以上索盘式送料机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索盘式;送料长度≥100m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行车式喂料机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层列式喂料机,料线长度≥60m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行车式自动化喂料机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行车式自动化饲喂机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60-160m超浮流式喂料机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60m≤料管长度&lt;160m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160m及以上超浮流式喂料机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料管长度≥160m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60-160m螺旋弹簧式喂(送)料机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60m≤料管长度&lt;160m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160m及以上螺旋弹簧式喂(送)料机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料管长度≥160m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160m及以上塞盘链式喂(送)料机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料线长度≥160m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160-200m塞盘链式喂(送)料机(索盘式)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160m≤料线长度&lt;200m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200m及以上塞盘链式喂(送)料机(索盘式)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料线长度≥200m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输送带式喂(送)料机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输送带有效长度50m及以上输送带式喂料机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禽用刮板式清粪机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禽用刮板式清粪机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畜用刮板式清粪机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畜用刮板式清粪机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输送带式清粪机(主要是鸡用)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有效输送带面积≥100m2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污粪固液分离机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污粪固液分离机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0.25-0.5m2圆筒筛粪污固液分离机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0.25m2≤圆筒筛面积&lt;0.5m2;结构形式:螺旋挤压式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0.5m2及以上圆筒筛粪污固液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圆筒筛面积≥0.5m2;结构形式:螺旋挤压式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227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单片斜筛固液分离机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0.5m2≤单片斜筛面积≤0.8m2;结构形式:螺旋挤压式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5kw以下其他污粪固液分离机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电机总功率&lt;5kw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229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5-10kw其他污粪固液分离机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5kw≤电机总功率&lt;10kw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10kw及以上其他污粪固液分离机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电机总功率≥10kw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 杯组手动移动式挤奶机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杯组数:1;脱杯方式:手动;型式:移动式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 杯组手动移动式挤奶机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杯组数:2;脱杯方式:手动;型式:移动式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24-40 杯组鱼骨式挤奶机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24≤杯组数＜40;型式:鱼骨式;脉动器型式:电子;计量方式:电子计量;脱杯方式:自动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 杯组及以上鱼骨式挤奶机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杯组数≥40;型式:鱼骨式;脉动器型式:电子;计量方式:电子计量;脱杯方式:自动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16-20 杯组并列式挤奶机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16≤杯组数＜20;型式:并列式;脉动器型式:电子;计量方式:电子计量;脱杯方式:自动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 杯组及以上并列（转盘）式挤奶机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杯组数≥20;型式:并列（转盘）式;脉动器型式:电子;计量方式:电子计量;脱杯方式:自动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自动挤奶设备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套杯时间≤120s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238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剪羊毛机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250W及以上剪羊毛机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功率≥250W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239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3000-6000L 贮奶罐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3000L≤容量＜6000L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6000-12000L 贮奶罐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6000L≤容量＜12000L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12000-20000L 贮奶罐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12000L≤容量＜20000L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20000L 及以上贮奶罐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容量≥20000L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1000-3000L 非全自动清洗冷藏罐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1000L≤容量＜3000L;清洗方式:非全自动清洗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3000-6000L 非全自动清洗冷藏罐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3000L≤容量＜6000L;清洗方式:非全自动清洗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6000L 及以上非全自动清洗冷藏罐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容量≥6000L;清洗方式:非全自动清洗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19200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1000-3000L 以下全自动清洗冷藏罐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1000L≤容量＜3000L;清洗方式:全自动清洗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3000-6000L 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3000L≤容量＜6000L;清洗方式:全自动清洗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248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6000L 及以上全自动清洗冷藏罐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容量≥6000L;清洗方式:全自动清洗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速冷设备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额定生产率≥1500L/h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水产养殖机械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增氧机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普通型增氧机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普通型增氧机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水产机械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水产养殖机械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增氧机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微孔曝气增氧机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功率≥1kW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扒齿搂膜式或其他残膜回收机,工作幅宽1m-3m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机引式,工作方式:扒齿搂膜式或其他式,1m≤工作幅宽≤3m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840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拔杆式残膜回收机,工作幅宽1.4m-2m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工作方式:拔杆起膜式,1.4m≤工作幅宽&lt;2m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拔杆式残膜回收机,工作幅宽2m及以上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工作方式:拔杆起膜,工作幅宽≥2m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带秸秆粉碎功能残膜回收机,工作幅宽1.8m及以上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工作幅宽≥1.8m;带秸秆粉碎功能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带刀带磨碎盘沼液沼渣抽排设备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带刀带磨碎盘;电机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罐体容积1M3及以上沼液沼渣抽排设备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罐体容积≥1M3;不锈钢罐体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630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非自走式沼液沼渣抽排设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≤罐体容积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259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非自走式沼液沼渣抽排设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≤罐体容积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及以上非自走式沼液沼渣抽排设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罐体容积≥3m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废弃物处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1.5-5m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自走式沼液沼渣抽排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lastRenderedPageBreak/>
              <w:t>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1.5m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≤罐体容积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262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及以上自走式沼液沼渣抽排设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罐体容积≥5m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0.5-1T/H秸秆压块机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0.5T/H≤生产率＜1T/H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1-2T/H秸秆压块机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1T/H≤生产率&lt;2T/H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2T/H及以上秸秆压块机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生产率≥2T/H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0.5-2M3畜禽养殖场有机废弃物处理机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0.5M3≤有效容积&lt;2M3,配备尾气处理装置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2M3及以上畜禽养殖场有机废弃物处理机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有效容积≥2M3,配备尾气处理装置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15750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0.5-2m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滚筒式降解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≤箱体容积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269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及以上滚筒式降解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箱体容积≥2m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0.5-2m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箱式降解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0.5m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≤箱体容积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及以上箱式降解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箱体容积≥2m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3.6-8m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高温化制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3.6m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≤箱体容积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&lt;8m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及以上高温化制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箱体容积≥8m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2-3m有机废弃物好氧发酵翻堆机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电机,配套总功率&gt;15kw,2m≤工作幅宽&lt;3m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3-4m有机废弃物好氧发酵翻堆机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电机,配套总功率&gt;15kw,3m≤工作幅宽&lt;4m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276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4m及以上有机废弃物好氧发酵翻堆机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电机,配套总功率&gt;15kw,工作幅宽≥4m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30-50kw有机废弃物好氧发酵翻堆机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柴油机,30kw≤配套总功率&lt;50kw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50kw及以上有机废弃物好氧发酵翻堆机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柴油机,配套总功率≥50kw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有机废弃物干式厌氧发酵装置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有机废弃物干式厌氧发酵装置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304#不锈钢材质,盛料容器容积≥2M3,厚度≥2mm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农田基本建设机械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幅宽2-3m激光平地机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2m≤幅宽&lt;3m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农田基本建设机械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平地机械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平地机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幅宽3m及以上激光平地机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幅宽≥3m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电动卷帘机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电动卷帘机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配套功率≥1.1kW,,适用大棚长度≥60米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50000-150000kcal/h、换热效率80%及以上生物质热风炉;配备送料和温控装置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50000kcal/h≤热功率&lt;150000kcal/h,换热效率≥80%,配备送料和温控装置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150000-300000kcal/h、换热效率80%及以上生物质热风炉;配备送料和温控装置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150000kcal/h≤热功率&lt;300000kcal/h,换热效率≥80%,配备送料和温控装置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300000-450000kcal/h、换热效率80%及以上生物质热风炉;配备送料和温控装置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300000kcal/h≤热功率&lt;450000kcal/h,换热效率≥80%,配备送料和温控装置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450000-750000kcal/h、换热效率80%及以上生物质热风炉;配备送料和温控装置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450000kcal/h≤热功率&lt;750000kcal/h,换热效率≥80%,配备送料和温控装置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750000kcal/h及以上、换热效率80%及以上生物质热风炉;配备送料和温控装置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热功率≥750000kcal/h,换热效率≥80%,配备送料和温控装置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288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额定功率30KW及以上且制热量100KW及以上热泵热风炉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额定功率≥30KW;制热量≥100KW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30-40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 马力≤功率＜40 马力;驱动方式:四轮驱动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40-50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 马力≤功率＜50 马力;驱动方式:四轮驱动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50-60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 马力≤功率＜60 马力;驱动方式:四轮驱动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60-70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60 马力≤功率＜70 马力;驱动方式:四轮驱动;K≥28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70-80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 马力≤功率＜80 马力;驱动方式:四轮驱动;K≥28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80-90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 马力≤功率＜90 马力;驱动方式:四轮驱动;K≥30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80-90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80 马力≤功率＜90 马力;驱动方式:四轮驱动;换挡方式:部分动力换挡、动力换挡/换向、无级变速;K≥30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21500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90-100 马力四轮驱动拖拉机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 马力≤功率＜100 马力;驱动方式:四轮驱动;K≥30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90-100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90 马力≤功率＜100 马力;驱动方式:四轮驱动;换挡方式:部分动力换挡、动力换挡/换向、无级变速;K≥30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24500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100-120 马力四轮驱动拖拉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 马力≤功率＜120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299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100-120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 马力≤功率＜120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27500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120-140 马力四轮驱动拖拉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 马力≤功率＜140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120-140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 马力≤功率＜140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34900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302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140-160 马力四轮驱动拖拉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 马力≤功率＜160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30300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140-160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140 马力≤功率＜160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42800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160-180 马力四轮驱动拖拉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 马力≤功率＜180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41600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160-180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160 马力≤功率＜180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49700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180-200 马力四轮驱动拖拉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 马力≤功率＜200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180-200 马力四轮驱动动力换挡拖拉机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180 马力≤功率＜200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55200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 马力及以上四轮驱动拖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br/>
              <w:t>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功率≥200 马力;驱动方式:四轮驱动;K≥32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46900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200 马力及以上四轮驱动动力换挡拖拉机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功率≥200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67200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手扶拖拉机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8马力及以上皮带传动手扶拖拉机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传动方式:皮带传动;功率≥8马力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1170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手扶拖拉机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11-15马力直联传动手扶拖拉机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传动方式:直联传动;11马力≤功率≤15马力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1710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履带式拖拉机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驱动方式:履带式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养蜂设备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养蜂平台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移动式养蜂平台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适用蜂箱数量:≥80个;含联动式蜂箱踏板、蜂箱保湿装置、蜜蜂饲喂装置、电动摇浆机、电动取浆器、花粉干燥箱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2-3m驱动耙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幅宽2-3m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315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3-4m驱动耙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幅宽3-4m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4m及以上驱动耙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幅宽4m及以上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317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入口螺杆直径≥120mm及以上的秸秆膨化机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生产率≥1000kg/h;入口螺杆直径≥120mm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318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8-10m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罐式畜禽粪便发酵处理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8m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≤盛料容器容积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319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10-15m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罐式畜禽粪便发酵处理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≤盛料容器容积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320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及以上罐式畜禽粪便发酵处理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盛料容器容积≥15m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321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7-10m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层叠式畜禽粪便发酵处理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≤盛料容器容积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2800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322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10-15m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层叠式畜禽粪便发酵处理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10m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≤盛料容器容积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&lt;15m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323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及以上层叠式畜禽粪便发酵处理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盛料容器容积≥15m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4800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324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农业用北斗终端(含渔船用)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直线精度±10cm的北斗导航辅助驾驶系统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北斗导航辅助驾驶系统,直线精度±10cm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5100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325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农业用北斗终端(含渔船用)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直线精度±2.5cm的北斗导航辅助驾驶系统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北斗导航辅助驾驶系统,直线精度±2.5cm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7500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  <w:tr w:rsidR="00E37054" w:rsidTr="00277DEF">
        <w:trPr>
          <w:trHeight w:val="20"/>
        </w:trPr>
        <w:tc>
          <w:tcPr>
            <w:tcW w:w="640" w:type="dxa"/>
            <w:vAlign w:val="center"/>
          </w:tcPr>
          <w:p w:rsidR="00E37054" w:rsidRDefault="00E3705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326</w:t>
            </w:r>
          </w:p>
        </w:tc>
        <w:tc>
          <w:tcPr>
            <w:tcW w:w="152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有机肥加工设备</w:t>
            </w:r>
          </w:p>
        </w:tc>
        <w:tc>
          <w:tcPr>
            <w:tcW w:w="3030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有机肥加工设备</w:t>
            </w:r>
          </w:p>
        </w:tc>
        <w:tc>
          <w:tcPr>
            <w:tcW w:w="448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有机肥生产率≥1t/h,含粉碎机、搅拌机、传送带、自动包装机等设备</w:t>
            </w:r>
          </w:p>
        </w:tc>
        <w:tc>
          <w:tcPr>
            <w:tcW w:w="13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 w:rsidR="00E37054" w:rsidRDefault="00E3705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非通用类</w:t>
            </w:r>
          </w:p>
        </w:tc>
      </w:tr>
    </w:tbl>
    <w:p w:rsidR="00B42138" w:rsidRDefault="00B42138">
      <w:pPr>
        <w:spacing w:line="600" w:lineRule="exact"/>
        <w:rPr>
          <w:rFonts w:ascii="仿宋" w:eastAsia="仿宋" w:hAnsi="仿宋" w:cs="仿宋"/>
          <w:szCs w:val="21"/>
        </w:rPr>
      </w:pPr>
    </w:p>
    <w:sectPr w:rsidR="00B42138" w:rsidSect="00B42138">
      <w:footerReference w:type="default" r:id="rId7"/>
      <w:pgSz w:w="16838" w:h="11906" w:orient="landscape"/>
      <w:pgMar w:top="1157" w:right="1080" w:bottom="1157" w:left="96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341" w:rsidRDefault="00E34341" w:rsidP="00B42138">
      <w:r>
        <w:separator/>
      </w:r>
    </w:p>
  </w:endnote>
  <w:endnote w:type="continuationSeparator" w:id="1">
    <w:p w:rsidR="00E34341" w:rsidRDefault="00E34341" w:rsidP="00B421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6B4" w:rsidRDefault="00A3117B">
    <w:pPr>
      <w:pStyle w:val="a3"/>
      <w:jc w:val="center"/>
    </w:pPr>
    <w:fldSimple w:instr=" PAGE   \* MERGEFORMAT ">
      <w:r w:rsidR="00E37054" w:rsidRPr="00E37054">
        <w:rPr>
          <w:noProof/>
          <w:lang w:val="zh-CN"/>
        </w:rPr>
        <w:t>1</w:t>
      </w:r>
    </w:fldSimple>
  </w:p>
  <w:p w:rsidR="00B226B4" w:rsidRDefault="00B226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341" w:rsidRDefault="00E34341" w:rsidP="00B42138">
      <w:r>
        <w:separator/>
      </w:r>
    </w:p>
  </w:footnote>
  <w:footnote w:type="continuationSeparator" w:id="1">
    <w:p w:rsidR="00E34341" w:rsidRDefault="00E34341" w:rsidP="00B421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138"/>
    <w:rsid w:val="000014A0"/>
    <w:rsid w:val="00014B9C"/>
    <w:rsid w:val="001024A0"/>
    <w:rsid w:val="00116BAC"/>
    <w:rsid w:val="00162953"/>
    <w:rsid w:val="00190075"/>
    <w:rsid w:val="001B2518"/>
    <w:rsid w:val="0026084D"/>
    <w:rsid w:val="00277DEF"/>
    <w:rsid w:val="002B2409"/>
    <w:rsid w:val="00326952"/>
    <w:rsid w:val="003336F2"/>
    <w:rsid w:val="0033660C"/>
    <w:rsid w:val="003E0BC8"/>
    <w:rsid w:val="003E27DA"/>
    <w:rsid w:val="003F6183"/>
    <w:rsid w:val="00411C45"/>
    <w:rsid w:val="00411EFC"/>
    <w:rsid w:val="00475B1D"/>
    <w:rsid w:val="00483A91"/>
    <w:rsid w:val="004858D8"/>
    <w:rsid w:val="004A0806"/>
    <w:rsid w:val="004B0CE6"/>
    <w:rsid w:val="005112B6"/>
    <w:rsid w:val="0054619F"/>
    <w:rsid w:val="005757C1"/>
    <w:rsid w:val="005A3700"/>
    <w:rsid w:val="005C0AC7"/>
    <w:rsid w:val="005C3B70"/>
    <w:rsid w:val="005F1B33"/>
    <w:rsid w:val="0060450B"/>
    <w:rsid w:val="00611232"/>
    <w:rsid w:val="006224AD"/>
    <w:rsid w:val="00632835"/>
    <w:rsid w:val="006413F1"/>
    <w:rsid w:val="0068445B"/>
    <w:rsid w:val="006A7E36"/>
    <w:rsid w:val="006F24F3"/>
    <w:rsid w:val="006F2F84"/>
    <w:rsid w:val="006F4519"/>
    <w:rsid w:val="0073260B"/>
    <w:rsid w:val="007374C1"/>
    <w:rsid w:val="00756DDA"/>
    <w:rsid w:val="00781232"/>
    <w:rsid w:val="007D2C8F"/>
    <w:rsid w:val="00805F24"/>
    <w:rsid w:val="0085763E"/>
    <w:rsid w:val="00887E6A"/>
    <w:rsid w:val="008F40C2"/>
    <w:rsid w:val="0090654D"/>
    <w:rsid w:val="00922C97"/>
    <w:rsid w:val="0095799E"/>
    <w:rsid w:val="00987F8D"/>
    <w:rsid w:val="009A7472"/>
    <w:rsid w:val="009E7EA3"/>
    <w:rsid w:val="00A14D1A"/>
    <w:rsid w:val="00A3117B"/>
    <w:rsid w:val="00A4083B"/>
    <w:rsid w:val="00A46239"/>
    <w:rsid w:val="00A63B23"/>
    <w:rsid w:val="00A64617"/>
    <w:rsid w:val="00A8131B"/>
    <w:rsid w:val="00AD301B"/>
    <w:rsid w:val="00B226B4"/>
    <w:rsid w:val="00B42138"/>
    <w:rsid w:val="00B51A70"/>
    <w:rsid w:val="00B6336E"/>
    <w:rsid w:val="00B7313E"/>
    <w:rsid w:val="00BE1465"/>
    <w:rsid w:val="00C14DA9"/>
    <w:rsid w:val="00C15480"/>
    <w:rsid w:val="00C175F0"/>
    <w:rsid w:val="00C80316"/>
    <w:rsid w:val="00CA1EDA"/>
    <w:rsid w:val="00CB78B8"/>
    <w:rsid w:val="00CE75EB"/>
    <w:rsid w:val="00D22034"/>
    <w:rsid w:val="00D41A83"/>
    <w:rsid w:val="00D52B6D"/>
    <w:rsid w:val="00D772F6"/>
    <w:rsid w:val="00DD4C9C"/>
    <w:rsid w:val="00DD6D75"/>
    <w:rsid w:val="00DE2108"/>
    <w:rsid w:val="00E34341"/>
    <w:rsid w:val="00E37054"/>
    <w:rsid w:val="00EB32D2"/>
    <w:rsid w:val="00EC7573"/>
    <w:rsid w:val="00ED24A7"/>
    <w:rsid w:val="00EE2318"/>
    <w:rsid w:val="00EF459B"/>
    <w:rsid w:val="00F0358D"/>
    <w:rsid w:val="00FF2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138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42138"/>
    <w:pPr>
      <w:widowControl/>
      <w:spacing w:before="480" w:line="600" w:lineRule="exact"/>
      <w:contextualSpacing/>
      <w:jc w:val="left"/>
      <w:outlineLvl w:val="0"/>
    </w:pPr>
    <w:rPr>
      <w:rFonts w:ascii="Tw Cen MT" w:eastAsia="华文仿宋" w:hAnsi="Tw Cen MT" w:cs="Times New Roman"/>
      <w:b/>
      <w:bCs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42138"/>
    <w:pPr>
      <w:widowControl/>
      <w:spacing w:before="200" w:line="600" w:lineRule="exact"/>
      <w:jc w:val="left"/>
      <w:outlineLvl w:val="1"/>
    </w:pPr>
    <w:rPr>
      <w:rFonts w:ascii="Tw Cen MT" w:eastAsia="华文仿宋" w:hAnsi="Tw Cen MT" w:cs="Times New Roman"/>
      <w:b/>
      <w:bCs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2138"/>
    <w:pPr>
      <w:widowControl/>
      <w:spacing w:before="200" w:line="271" w:lineRule="auto"/>
      <w:jc w:val="left"/>
      <w:outlineLvl w:val="2"/>
    </w:pPr>
    <w:rPr>
      <w:rFonts w:ascii="Tw Cen MT" w:eastAsia="华文仿宋" w:hAnsi="Tw Cen MT" w:cs="Times New Roman"/>
      <w:b/>
      <w:bCs/>
      <w:kern w:val="0"/>
      <w:sz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2138"/>
    <w:pPr>
      <w:widowControl/>
      <w:spacing w:before="200" w:line="600" w:lineRule="exact"/>
      <w:jc w:val="left"/>
      <w:outlineLvl w:val="3"/>
    </w:pPr>
    <w:rPr>
      <w:rFonts w:ascii="Tw Cen MT" w:eastAsia="华文仿宋" w:hAnsi="Tw Cen MT" w:cs="Times New Roman"/>
      <w:b/>
      <w:bCs/>
      <w:i/>
      <w:iCs/>
      <w:kern w:val="0"/>
      <w:sz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2138"/>
    <w:pPr>
      <w:widowControl/>
      <w:spacing w:before="200" w:line="600" w:lineRule="exact"/>
      <w:jc w:val="left"/>
      <w:outlineLvl w:val="4"/>
    </w:pPr>
    <w:rPr>
      <w:rFonts w:ascii="Tw Cen MT" w:eastAsia="华文仿宋" w:hAnsi="Tw Cen MT" w:cs="Times New Roman"/>
      <w:b/>
      <w:bCs/>
      <w:color w:val="7F7F7F"/>
      <w:kern w:val="0"/>
      <w:sz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42138"/>
    <w:pPr>
      <w:widowControl/>
      <w:spacing w:line="271" w:lineRule="auto"/>
      <w:jc w:val="left"/>
      <w:outlineLvl w:val="5"/>
    </w:pPr>
    <w:rPr>
      <w:rFonts w:ascii="Tw Cen MT" w:eastAsia="华文仿宋" w:hAnsi="Tw Cen MT" w:cs="Times New Roman"/>
      <w:b/>
      <w:bCs/>
      <w:i/>
      <w:iCs/>
      <w:color w:val="7F7F7F"/>
      <w:kern w:val="0"/>
      <w:sz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42138"/>
    <w:pPr>
      <w:widowControl/>
      <w:spacing w:line="600" w:lineRule="exact"/>
      <w:jc w:val="left"/>
      <w:outlineLvl w:val="6"/>
    </w:pPr>
    <w:rPr>
      <w:rFonts w:ascii="Tw Cen MT" w:eastAsia="华文仿宋" w:hAnsi="Tw Cen MT" w:cs="Times New Roman"/>
      <w:i/>
      <w:iCs/>
      <w:kern w:val="0"/>
      <w:sz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42138"/>
    <w:pPr>
      <w:widowControl/>
      <w:spacing w:line="600" w:lineRule="exact"/>
      <w:jc w:val="left"/>
      <w:outlineLvl w:val="7"/>
    </w:pPr>
    <w:rPr>
      <w:rFonts w:ascii="Tw Cen MT" w:eastAsia="华文仿宋" w:hAnsi="Tw Cen MT" w:cs="Times New Roman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42138"/>
    <w:pPr>
      <w:widowControl/>
      <w:spacing w:line="600" w:lineRule="exact"/>
      <w:jc w:val="left"/>
      <w:outlineLvl w:val="8"/>
    </w:pPr>
    <w:rPr>
      <w:rFonts w:ascii="Tw Cen MT" w:eastAsia="华文仿宋" w:hAnsi="Tw Cen MT" w:cs="Times New Roman"/>
      <w:i/>
      <w:iCs/>
      <w:spacing w:val="5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4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B42138"/>
    <w:pPr>
      <w:widowControl/>
      <w:spacing w:after="600" w:line="600" w:lineRule="exact"/>
      <w:jc w:val="left"/>
    </w:pPr>
    <w:rPr>
      <w:rFonts w:ascii="Tw Cen MT" w:eastAsia="华文仿宋" w:hAnsi="Tw Cen MT" w:cs="Times New Roman"/>
      <w:i/>
      <w:iCs/>
      <w:spacing w:val="13"/>
      <w:kern w:val="0"/>
      <w:sz w:val="24"/>
      <w:szCs w:val="24"/>
      <w:lang w:eastAsia="en-US" w:bidi="en-US"/>
    </w:rPr>
  </w:style>
  <w:style w:type="paragraph" w:styleId="a6">
    <w:name w:val="Title"/>
    <w:basedOn w:val="a"/>
    <w:next w:val="a"/>
    <w:link w:val="Char2"/>
    <w:uiPriority w:val="10"/>
    <w:qFormat/>
    <w:rsid w:val="00B42138"/>
    <w:pPr>
      <w:widowControl/>
      <w:pBdr>
        <w:bottom w:val="single" w:sz="4" w:space="1" w:color="auto"/>
      </w:pBdr>
      <w:spacing w:after="200"/>
      <w:contextualSpacing/>
      <w:jc w:val="left"/>
    </w:pPr>
    <w:rPr>
      <w:rFonts w:ascii="Tw Cen MT" w:eastAsia="华文仿宋" w:hAnsi="Tw Cen MT" w:cs="Times New Roman"/>
      <w:spacing w:val="5"/>
      <w:kern w:val="0"/>
      <w:sz w:val="52"/>
      <w:szCs w:val="52"/>
      <w:lang w:eastAsia="en-US" w:bidi="en-US"/>
    </w:rPr>
  </w:style>
  <w:style w:type="character" w:styleId="a7">
    <w:name w:val="Strong"/>
    <w:uiPriority w:val="22"/>
    <w:qFormat/>
    <w:rsid w:val="00B42138"/>
    <w:rPr>
      <w:b/>
      <w:bCs/>
    </w:rPr>
  </w:style>
  <w:style w:type="character" w:styleId="a8">
    <w:name w:val="Emphasis"/>
    <w:uiPriority w:val="20"/>
    <w:qFormat/>
    <w:rsid w:val="00B42138"/>
    <w:rPr>
      <w:b/>
      <w:bCs/>
      <w:i/>
      <w:iCs/>
      <w:spacing w:val="10"/>
      <w:shd w:val="clear" w:color="auto" w:fill="auto"/>
    </w:rPr>
  </w:style>
  <w:style w:type="paragraph" w:customStyle="1" w:styleId="10">
    <w:name w:val="无间隔1"/>
    <w:basedOn w:val="a"/>
    <w:link w:val="Char3"/>
    <w:uiPriority w:val="1"/>
    <w:qFormat/>
    <w:rsid w:val="00B42138"/>
    <w:pPr>
      <w:widowControl/>
      <w:jc w:val="left"/>
    </w:pPr>
    <w:rPr>
      <w:rFonts w:ascii="Tw Cen MT" w:eastAsia="华文仿宋" w:hAnsi="Tw Cen MT" w:cs="Times New Roman"/>
      <w:kern w:val="0"/>
      <w:sz w:val="22"/>
      <w:lang w:eastAsia="en-US" w:bidi="en-US"/>
    </w:rPr>
  </w:style>
  <w:style w:type="paragraph" w:customStyle="1" w:styleId="11">
    <w:name w:val="列出段落1"/>
    <w:basedOn w:val="a"/>
    <w:uiPriority w:val="34"/>
    <w:qFormat/>
    <w:rsid w:val="00B42138"/>
    <w:pPr>
      <w:widowControl/>
      <w:spacing w:after="200" w:line="600" w:lineRule="exact"/>
      <w:ind w:left="720"/>
      <w:contextualSpacing/>
      <w:jc w:val="left"/>
    </w:pPr>
    <w:rPr>
      <w:rFonts w:ascii="Tw Cen MT" w:eastAsia="华文仿宋" w:hAnsi="Tw Cen MT" w:cs="Times New Roman"/>
      <w:kern w:val="0"/>
      <w:sz w:val="22"/>
      <w:lang w:eastAsia="en-US" w:bidi="en-US"/>
    </w:rPr>
  </w:style>
  <w:style w:type="paragraph" w:customStyle="1" w:styleId="12">
    <w:name w:val="引用1"/>
    <w:basedOn w:val="a"/>
    <w:next w:val="a"/>
    <w:link w:val="Char4"/>
    <w:uiPriority w:val="29"/>
    <w:qFormat/>
    <w:rsid w:val="00B42138"/>
    <w:pPr>
      <w:widowControl/>
      <w:spacing w:before="200" w:line="600" w:lineRule="exact"/>
      <w:ind w:left="360" w:right="360"/>
      <w:jc w:val="left"/>
    </w:pPr>
    <w:rPr>
      <w:rFonts w:ascii="Tw Cen MT" w:eastAsia="华文仿宋" w:hAnsi="Tw Cen MT" w:cs="Times New Roman"/>
      <w:i/>
      <w:iCs/>
      <w:kern w:val="0"/>
      <w:sz w:val="22"/>
      <w:lang w:eastAsia="en-US" w:bidi="en-US"/>
    </w:rPr>
  </w:style>
  <w:style w:type="paragraph" w:customStyle="1" w:styleId="13">
    <w:name w:val="明显引用1"/>
    <w:basedOn w:val="a"/>
    <w:next w:val="a"/>
    <w:link w:val="Char5"/>
    <w:uiPriority w:val="30"/>
    <w:qFormat/>
    <w:rsid w:val="00B42138"/>
    <w:pPr>
      <w:widowControl/>
      <w:pBdr>
        <w:bottom w:val="single" w:sz="4" w:space="1" w:color="auto"/>
      </w:pBdr>
      <w:spacing w:before="200" w:after="280" w:line="600" w:lineRule="exact"/>
      <w:ind w:left="1008" w:right="1152"/>
    </w:pPr>
    <w:rPr>
      <w:rFonts w:ascii="Tw Cen MT" w:eastAsia="华文仿宋" w:hAnsi="Tw Cen MT" w:cs="Times New Roman"/>
      <w:b/>
      <w:bCs/>
      <w:i/>
      <w:iCs/>
      <w:kern w:val="0"/>
      <w:sz w:val="22"/>
      <w:lang w:eastAsia="en-US" w:bidi="en-US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B42138"/>
    <w:pPr>
      <w:outlineLvl w:val="9"/>
    </w:pPr>
  </w:style>
  <w:style w:type="character" w:customStyle="1" w:styleId="Char0">
    <w:name w:val="页眉 Char"/>
    <w:basedOn w:val="a0"/>
    <w:link w:val="a4"/>
    <w:uiPriority w:val="99"/>
    <w:semiHidden/>
    <w:rsid w:val="00B421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21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42138"/>
    <w:rPr>
      <w:rFonts w:ascii="Tw Cen MT" w:eastAsia="华文仿宋" w:hAnsi="Tw Cen MT" w:cs="Times New Roman"/>
      <w:b/>
      <w:bCs/>
      <w:kern w:val="0"/>
      <w:sz w:val="28"/>
      <w:szCs w:val="28"/>
      <w:lang w:eastAsia="en-US" w:bidi="en-US"/>
    </w:rPr>
  </w:style>
  <w:style w:type="character" w:customStyle="1" w:styleId="2Char">
    <w:name w:val="标题 2 Char"/>
    <w:basedOn w:val="a0"/>
    <w:link w:val="2"/>
    <w:uiPriority w:val="9"/>
    <w:semiHidden/>
    <w:rsid w:val="00B42138"/>
    <w:rPr>
      <w:rFonts w:ascii="Tw Cen MT" w:eastAsia="华文仿宋" w:hAnsi="Tw Cen MT" w:cs="Times New Roman"/>
      <w:b/>
      <w:bCs/>
      <w:kern w:val="0"/>
      <w:sz w:val="26"/>
      <w:szCs w:val="26"/>
      <w:lang w:eastAsia="en-US" w:bidi="en-US"/>
    </w:rPr>
  </w:style>
  <w:style w:type="character" w:customStyle="1" w:styleId="3Char">
    <w:name w:val="标题 3 Char"/>
    <w:basedOn w:val="a0"/>
    <w:link w:val="3"/>
    <w:uiPriority w:val="9"/>
    <w:semiHidden/>
    <w:rsid w:val="00B42138"/>
    <w:rPr>
      <w:rFonts w:ascii="Tw Cen MT" w:eastAsia="华文仿宋" w:hAnsi="Tw Cen MT" w:cs="Times New Roman"/>
      <w:b/>
      <w:bCs/>
      <w:kern w:val="0"/>
      <w:sz w:val="22"/>
      <w:lang w:eastAsia="en-US" w:bidi="en-US"/>
    </w:rPr>
  </w:style>
  <w:style w:type="character" w:customStyle="1" w:styleId="4Char">
    <w:name w:val="标题 4 Char"/>
    <w:basedOn w:val="a0"/>
    <w:link w:val="4"/>
    <w:uiPriority w:val="9"/>
    <w:semiHidden/>
    <w:rsid w:val="00B42138"/>
    <w:rPr>
      <w:rFonts w:ascii="Tw Cen MT" w:eastAsia="华文仿宋" w:hAnsi="Tw Cen MT" w:cs="Times New Roman"/>
      <w:b/>
      <w:bCs/>
      <w:i/>
      <w:iCs/>
      <w:kern w:val="0"/>
      <w:sz w:val="22"/>
      <w:lang w:eastAsia="en-US" w:bidi="en-US"/>
    </w:rPr>
  </w:style>
  <w:style w:type="character" w:customStyle="1" w:styleId="5Char">
    <w:name w:val="标题 5 Char"/>
    <w:basedOn w:val="a0"/>
    <w:link w:val="5"/>
    <w:uiPriority w:val="9"/>
    <w:semiHidden/>
    <w:rsid w:val="00B42138"/>
    <w:rPr>
      <w:rFonts w:ascii="Tw Cen MT" w:eastAsia="华文仿宋" w:hAnsi="Tw Cen MT" w:cs="Times New Roman"/>
      <w:b/>
      <w:bCs/>
      <w:color w:val="7F7F7F"/>
      <w:kern w:val="0"/>
      <w:sz w:val="22"/>
      <w:lang w:eastAsia="en-US" w:bidi="en-US"/>
    </w:rPr>
  </w:style>
  <w:style w:type="character" w:customStyle="1" w:styleId="6Char">
    <w:name w:val="标题 6 Char"/>
    <w:basedOn w:val="a0"/>
    <w:link w:val="6"/>
    <w:uiPriority w:val="9"/>
    <w:semiHidden/>
    <w:rsid w:val="00B42138"/>
    <w:rPr>
      <w:rFonts w:ascii="Tw Cen MT" w:eastAsia="华文仿宋" w:hAnsi="Tw Cen MT" w:cs="Times New Roman"/>
      <w:b/>
      <w:bCs/>
      <w:i/>
      <w:iCs/>
      <w:color w:val="7F7F7F"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semiHidden/>
    <w:rsid w:val="00B42138"/>
    <w:rPr>
      <w:rFonts w:ascii="Tw Cen MT" w:eastAsia="华文仿宋" w:hAnsi="Tw Cen MT" w:cs="Times New Roman"/>
      <w:i/>
      <w:iCs/>
      <w:kern w:val="0"/>
      <w:sz w:val="22"/>
      <w:lang w:eastAsia="en-US" w:bidi="en-US"/>
    </w:rPr>
  </w:style>
  <w:style w:type="character" w:customStyle="1" w:styleId="8Char">
    <w:name w:val="标题 8 Char"/>
    <w:basedOn w:val="a0"/>
    <w:link w:val="8"/>
    <w:uiPriority w:val="9"/>
    <w:semiHidden/>
    <w:rsid w:val="00B42138"/>
    <w:rPr>
      <w:rFonts w:ascii="Tw Cen MT" w:eastAsia="华文仿宋" w:hAnsi="Tw Cen MT" w:cs="Times New Roman"/>
      <w:kern w:val="0"/>
      <w:sz w:val="20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semiHidden/>
    <w:rsid w:val="00B42138"/>
    <w:rPr>
      <w:rFonts w:ascii="Tw Cen MT" w:eastAsia="华文仿宋" w:hAnsi="Tw Cen MT" w:cs="Times New Roman"/>
      <w:i/>
      <w:iCs/>
      <w:spacing w:val="5"/>
      <w:kern w:val="0"/>
      <w:sz w:val="20"/>
      <w:szCs w:val="20"/>
      <w:lang w:eastAsia="en-US" w:bidi="en-US"/>
    </w:rPr>
  </w:style>
  <w:style w:type="character" w:customStyle="1" w:styleId="Char3">
    <w:name w:val="无间隔 Char"/>
    <w:basedOn w:val="a0"/>
    <w:link w:val="10"/>
    <w:uiPriority w:val="1"/>
    <w:rsid w:val="00B42138"/>
    <w:rPr>
      <w:rFonts w:ascii="Tw Cen MT" w:eastAsia="华文仿宋" w:hAnsi="Tw Cen MT" w:cs="Times New Roman"/>
      <w:kern w:val="0"/>
      <w:sz w:val="22"/>
      <w:lang w:eastAsia="en-US" w:bidi="en-US"/>
    </w:rPr>
  </w:style>
  <w:style w:type="character" w:customStyle="1" w:styleId="Char2">
    <w:name w:val="标题 Char"/>
    <w:basedOn w:val="a0"/>
    <w:link w:val="a6"/>
    <w:uiPriority w:val="10"/>
    <w:rsid w:val="00B42138"/>
    <w:rPr>
      <w:rFonts w:ascii="Tw Cen MT" w:eastAsia="华文仿宋" w:hAnsi="Tw Cen MT" w:cs="Times New Roman"/>
      <w:spacing w:val="5"/>
      <w:kern w:val="0"/>
      <w:sz w:val="52"/>
      <w:szCs w:val="52"/>
      <w:lang w:eastAsia="en-US" w:bidi="en-US"/>
    </w:rPr>
  </w:style>
  <w:style w:type="character" w:customStyle="1" w:styleId="Char1">
    <w:name w:val="副标题 Char"/>
    <w:basedOn w:val="a0"/>
    <w:link w:val="a5"/>
    <w:uiPriority w:val="11"/>
    <w:rsid w:val="00B42138"/>
    <w:rPr>
      <w:rFonts w:ascii="Tw Cen MT" w:eastAsia="华文仿宋" w:hAnsi="Tw Cen MT" w:cs="Times New Roman"/>
      <w:i/>
      <w:iCs/>
      <w:spacing w:val="13"/>
      <w:kern w:val="0"/>
      <w:sz w:val="24"/>
      <w:szCs w:val="24"/>
      <w:lang w:eastAsia="en-US" w:bidi="en-US"/>
    </w:rPr>
  </w:style>
  <w:style w:type="character" w:customStyle="1" w:styleId="Char4">
    <w:name w:val="引用 Char"/>
    <w:basedOn w:val="a0"/>
    <w:link w:val="12"/>
    <w:uiPriority w:val="29"/>
    <w:rsid w:val="00B42138"/>
    <w:rPr>
      <w:rFonts w:ascii="Tw Cen MT" w:eastAsia="华文仿宋" w:hAnsi="Tw Cen MT" w:cs="Times New Roman"/>
      <w:i/>
      <w:iCs/>
      <w:kern w:val="0"/>
      <w:sz w:val="22"/>
      <w:lang w:eastAsia="en-US" w:bidi="en-US"/>
    </w:rPr>
  </w:style>
  <w:style w:type="character" w:customStyle="1" w:styleId="Char5">
    <w:name w:val="明显引用 Char"/>
    <w:basedOn w:val="a0"/>
    <w:link w:val="13"/>
    <w:uiPriority w:val="30"/>
    <w:rsid w:val="00B42138"/>
    <w:rPr>
      <w:rFonts w:ascii="Tw Cen MT" w:eastAsia="华文仿宋" w:hAnsi="Tw Cen MT" w:cs="Times New Roman"/>
      <w:b/>
      <w:bCs/>
      <w:i/>
      <w:iCs/>
      <w:kern w:val="0"/>
      <w:sz w:val="22"/>
      <w:lang w:eastAsia="en-US" w:bidi="en-US"/>
    </w:rPr>
  </w:style>
  <w:style w:type="character" w:customStyle="1" w:styleId="14">
    <w:name w:val="不明显强调1"/>
    <w:uiPriority w:val="19"/>
    <w:qFormat/>
    <w:rsid w:val="00B42138"/>
    <w:rPr>
      <w:i/>
      <w:iCs/>
    </w:rPr>
  </w:style>
  <w:style w:type="character" w:customStyle="1" w:styleId="15">
    <w:name w:val="明显强调1"/>
    <w:uiPriority w:val="21"/>
    <w:qFormat/>
    <w:rsid w:val="00B42138"/>
    <w:rPr>
      <w:b/>
      <w:bCs/>
    </w:rPr>
  </w:style>
  <w:style w:type="character" w:customStyle="1" w:styleId="16">
    <w:name w:val="不明显参考1"/>
    <w:uiPriority w:val="31"/>
    <w:qFormat/>
    <w:rsid w:val="00B42138"/>
    <w:rPr>
      <w:smallCaps/>
    </w:rPr>
  </w:style>
  <w:style w:type="character" w:customStyle="1" w:styleId="17">
    <w:name w:val="明显参考1"/>
    <w:uiPriority w:val="32"/>
    <w:qFormat/>
    <w:rsid w:val="00B42138"/>
    <w:rPr>
      <w:smallCaps/>
      <w:spacing w:val="5"/>
      <w:u w:val="single"/>
    </w:rPr>
  </w:style>
  <w:style w:type="character" w:customStyle="1" w:styleId="18">
    <w:name w:val="书籍标题1"/>
    <w:uiPriority w:val="33"/>
    <w:qFormat/>
    <w:rsid w:val="00B42138"/>
    <w:rPr>
      <w:i/>
      <w:i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2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25</Pages>
  <Words>3790</Words>
  <Characters>21609</Characters>
  <Application>Microsoft Office Word</Application>
  <DocSecurity>0</DocSecurity>
  <Lines>180</Lines>
  <Paragraphs>50</Paragraphs>
  <ScaleCrop>false</ScaleCrop>
  <Company>微软中国</Company>
  <LinksUpToDate>false</LinksUpToDate>
  <CharactersWithSpaces>25349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吉林省农业委员会 吉林省财政厅</dc:title>
  <dc:creator>微软用户</dc:creator>
  <cp:lastModifiedBy>CDG</cp:lastModifiedBy>
  <cp:revision>4</cp:revision>
  <dcterms:created xsi:type="dcterms:W3CDTF">2021-04-07T01:30:00Z</dcterms:created>
  <dcterms:modified xsi:type="dcterms:W3CDTF">2021-05-08T07:32:00Z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