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945" w:rightChars="450" w:firstLine="0" w:firstLineChars="0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bookmarkStart w:id="0" w:name="SectionMark4"/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附件4</w:t>
      </w:r>
    </w:p>
    <w:p>
      <w:pPr>
        <w:keepNext w:val="0"/>
        <w:keepLines w:val="0"/>
        <w:pageBreakBefore w:val="0"/>
        <w:widowControl/>
        <w:shd w:val="clear" w:color="FFFFFF" w:fill="FFFFFF"/>
        <w:kinsoku/>
        <w:wordWrap/>
        <w:overflowPunct/>
        <w:topLinePunct w:val="0"/>
        <w:bidi w:val="0"/>
        <w:spacing w:line="600" w:lineRule="exact"/>
        <w:jc w:val="center"/>
        <w:textAlignment w:val="auto"/>
        <w:outlineLvl w:val="0"/>
        <w:rPr>
          <w:rFonts w:ascii="Times New Roman" w:hAnsi="Times New Roman" w:eastAsia="华文中宋" w:cs="Times New Roman"/>
          <w:b/>
          <w:color w:val="auto"/>
          <w:kern w:val="0"/>
          <w:sz w:val="36"/>
          <w:szCs w:val="36"/>
        </w:rPr>
      </w:pPr>
      <w:r>
        <w:rPr>
          <w:rFonts w:hint="eastAsia" w:ascii="Times New Roman" w:hAnsi="Times New Roman" w:eastAsia="华文中宋" w:cs="Times New Roman"/>
          <w:b/>
          <w:color w:val="auto"/>
          <w:kern w:val="0"/>
          <w:sz w:val="36"/>
          <w:szCs w:val="36"/>
          <w:lang w:val="en-US" w:eastAsia="zh-CN"/>
        </w:rPr>
        <w:t>水稻机收损失率测定简易方法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textAlignment w:val="auto"/>
        <w:outlineLvl w:val="1"/>
        <w:rPr>
          <w:rFonts w:ascii="Times New Roman" w:hAnsi="Times New Roman" w:eastAsia="黑体" w:cs="Times New Roman"/>
          <w:color w:val="auto"/>
          <w:spacing w:val="4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color w:val="auto"/>
          <w:spacing w:val="4"/>
          <w:kern w:val="0"/>
          <w:sz w:val="28"/>
          <w:szCs w:val="28"/>
        </w:rPr>
        <w:t xml:space="preserve">1  </w:t>
      </w:r>
      <w:r>
        <w:rPr>
          <w:rFonts w:ascii="Times New Roman" w:hAnsi="Times New Roman" w:eastAsia="黑体" w:cs="Times New Roman"/>
          <w:color w:val="auto"/>
          <w:kern w:val="0"/>
          <w:sz w:val="28"/>
          <w:szCs w:val="28"/>
        </w:rPr>
        <w:t>范围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ind w:firstLine="560" w:firstLineChars="200"/>
        <w:textAlignment w:val="auto"/>
        <w:rPr>
          <w:rFonts w:ascii="Times New Roman" w:hAnsi="Times New Roman" w:eastAsia="仿宋_GB2312" w:cs="Times New Roman"/>
          <w:color w:val="auto"/>
          <w:kern w:val="0"/>
          <w:sz w:val="28"/>
          <w:szCs w:val="28"/>
          <w:highlight w:val="none"/>
        </w:rPr>
      </w:pP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  <w:highlight w:val="none"/>
        </w:rPr>
        <w:t>本文件规定了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eastAsia="zh-CN"/>
        </w:rPr>
        <w:t>水稻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  <w:highlight w:val="none"/>
        </w:rPr>
        <w:t>收获时联合收割机（包括轮式和履带式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eastAsia="zh-CN"/>
        </w:rPr>
        <w:t>，全喂入式和半喂入式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  <w:highlight w:val="none"/>
        </w:rPr>
        <w:t>）收获损失率简易测定方法。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ind w:firstLine="560" w:firstLineChars="200"/>
        <w:textAlignment w:val="auto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本文件适用于2021年全国粮食机收减损技能大比武活动，供各分赛区参照执行，各分赛区可根据实际情况调整测定方法。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textAlignment w:val="auto"/>
        <w:outlineLvl w:val="1"/>
        <w:rPr>
          <w:rFonts w:ascii="Times New Roman" w:hAnsi="Times New Roman" w:eastAsia="黑体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color w:val="auto"/>
          <w:spacing w:val="4"/>
          <w:kern w:val="0"/>
          <w:sz w:val="28"/>
          <w:szCs w:val="28"/>
        </w:rPr>
        <w:t xml:space="preserve">2  </w:t>
      </w:r>
      <w:r>
        <w:rPr>
          <w:rFonts w:ascii="Times New Roman" w:hAnsi="Times New Roman" w:eastAsia="黑体" w:cs="Times New Roman"/>
          <w:color w:val="auto"/>
          <w:kern w:val="0"/>
          <w:sz w:val="28"/>
          <w:szCs w:val="28"/>
        </w:rPr>
        <w:t>依据标准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ind w:firstLine="560" w:firstLineChars="200"/>
        <w:textAlignment w:val="auto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GB/T 5262</w:t>
      </w:r>
      <w:r>
        <w:rPr>
          <w:rFonts w:hint="eastAsia" w:ascii="仿宋_GB2312" w:hAnsi="仿宋_GB2312" w:eastAsia="仿宋_GB2312" w:cs="仿宋_GB2312"/>
          <w:sz w:val="28"/>
          <w:szCs w:val="28"/>
        </w:rPr>
        <w:t>-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2008  农业机械试验条件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测定方法的一般规定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ind w:firstLine="560" w:firstLineChars="200"/>
        <w:textAlignment w:val="auto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GB/T 5667</w:t>
      </w:r>
      <w:r>
        <w:rPr>
          <w:rFonts w:hint="eastAsia" w:ascii="仿宋_GB2312" w:hAnsi="仿宋_GB2312" w:eastAsia="仿宋_GB2312" w:cs="仿宋_GB2312"/>
          <w:sz w:val="28"/>
          <w:szCs w:val="28"/>
        </w:rPr>
        <w:t>-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2008  农业机械 生产试验方法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ind w:firstLine="560" w:firstLineChars="200"/>
        <w:textAlignment w:val="auto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 xml:space="preserve">NY/T 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498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-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2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013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 xml:space="preserve">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eastAsia="zh-CN"/>
        </w:rPr>
        <w:t>水稻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联合收获机械作业质量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textAlignment w:val="auto"/>
        <w:outlineLvl w:val="1"/>
        <w:rPr>
          <w:rFonts w:ascii="Times New Roman" w:hAnsi="Times New Roman" w:eastAsia="黑体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color w:val="auto"/>
          <w:kern w:val="0"/>
          <w:sz w:val="28"/>
          <w:szCs w:val="28"/>
        </w:rPr>
        <w:t>3  术语和定义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ind w:firstLine="560" w:firstLineChars="200"/>
        <w:textAlignment w:val="auto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下列术语和定义适用于本文件。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textAlignment w:val="auto"/>
        <w:outlineLvl w:val="1"/>
        <w:rPr>
          <w:rFonts w:ascii="Times New Roman" w:hAnsi="Times New Roman" w:eastAsia="黑体" w:cs="Times New Roman"/>
          <w:color w:val="auto"/>
          <w:spacing w:val="4"/>
          <w:kern w:val="0"/>
          <w:sz w:val="28"/>
          <w:szCs w:val="28"/>
          <w:highlight w:val="yellow"/>
        </w:rPr>
      </w:pPr>
      <w:r>
        <w:rPr>
          <w:rFonts w:ascii="Times New Roman" w:hAnsi="Times New Roman" w:eastAsia="黑体" w:cs="Times New Roman"/>
          <w:color w:val="auto"/>
          <w:spacing w:val="4"/>
          <w:kern w:val="0"/>
          <w:sz w:val="28"/>
          <w:szCs w:val="28"/>
          <w:highlight w:val="none"/>
        </w:rPr>
        <w:t>3.</w:t>
      </w:r>
      <w:r>
        <w:rPr>
          <w:rFonts w:hint="eastAsia" w:ascii="Times New Roman" w:hAnsi="Times New Roman" w:eastAsia="黑体" w:cs="Times New Roman"/>
          <w:color w:val="auto"/>
          <w:spacing w:val="4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ascii="Times New Roman" w:hAnsi="Times New Roman" w:eastAsia="黑体" w:cs="Times New Roman"/>
          <w:color w:val="auto"/>
          <w:spacing w:val="4"/>
          <w:kern w:val="0"/>
          <w:sz w:val="28"/>
          <w:szCs w:val="28"/>
          <w:highlight w:val="none"/>
        </w:rPr>
        <w:t>自然落粒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560" w:firstLineChars="200"/>
        <w:textAlignment w:val="auto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在收获（割）之前掉落的籽粒和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eastAsia="zh-CN"/>
        </w:rPr>
        <w:t>稻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 w:val="0"/>
        <w:spacing w:line="600" w:lineRule="exact"/>
        <w:textAlignment w:val="auto"/>
        <w:rPr>
          <w:rFonts w:ascii="Times New Roman" w:hAnsi="Times New Roman" w:eastAsia="黑体" w:cs="Times New Roman"/>
          <w:color w:val="auto"/>
          <w:spacing w:val="4"/>
          <w:sz w:val="28"/>
          <w:szCs w:val="28"/>
        </w:rPr>
      </w:pPr>
      <w:r>
        <w:rPr>
          <w:rFonts w:ascii="Times New Roman" w:hAnsi="Times New Roman" w:eastAsia="黑体" w:cs="Times New Roman"/>
          <w:color w:val="auto"/>
          <w:spacing w:val="4"/>
          <w:sz w:val="28"/>
          <w:szCs w:val="28"/>
        </w:rPr>
        <w:t>3.</w:t>
      </w:r>
      <w:r>
        <w:rPr>
          <w:rFonts w:hint="eastAsia" w:ascii="Times New Roman" w:hAnsi="Times New Roman" w:eastAsia="黑体" w:cs="Times New Roman"/>
          <w:color w:val="auto"/>
          <w:spacing w:val="4"/>
          <w:sz w:val="28"/>
          <w:szCs w:val="28"/>
          <w:lang w:val="en-US" w:eastAsia="zh-CN"/>
        </w:rPr>
        <w:t>2</w:t>
      </w:r>
      <w:r>
        <w:rPr>
          <w:rFonts w:ascii="Times New Roman" w:hAnsi="Times New Roman" w:eastAsia="黑体" w:cs="Times New Roman"/>
          <w:color w:val="auto"/>
          <w:spacing w:val="4"/>
          <w:sz w:val="28"/>
          <w:szCs w:val="28"/>
        </w:rPr>
        <w:t>倒伏程度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560" w:firstLineChars="200"/>
        <w:textAlignment w:val="auto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用不倒伏、中等倒伏和严重倒伏表示。穗头根部和茎秆基部连线与地面垂直线间的夹角，在0°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-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30°为不倒伏，30°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-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60°为中等倒伏，60°以上为严重倒伏。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textAlignment w:val="auto"/>
        <w:outlineLvl w:val="1"/>
        <w:rPr>
          <w:rFonts w:ascii="Times New Roman" w:hAnsi="Times New Roman" w:eastAsia="黑体" w:cs="Times New Roman"/>
          <w:color w:val="auto"/>
          <w:spacing w:val="4"/>
          <w:sz w:val="28"/>
          <w:szCs w:val="28"/>
        </w:rPr>
      </w:pPr>
      <w:r>
        <w:rPr>
          <w:rFonts w:ascii="Times New Roman" w:hAnsi="Times New Roman" w:eastAsia="黑体" w:cs="Times New Roman"/>
          <w:color w:val="auto"/>
          <w:spacing w:val="4"/>
          <w:kern w:val="0"/>
          <w:sz w:val="28"/>
          <w:szCs w:val="28"/>
        </w:rPr>
        <w:t>3.</w:t>
      </w:r>
      <w:r>
        <w:rPr>
          <w:rFonts w:hint="eastAsia" w:ascii="Times New Roman" w:hAnsi="Times New Roman" w:eastAsia="黑体" w:cs="Times New Roman"/>
          <w:color w:val="auto"/>
          <w:spacing w:val="4"/>
          <w:kern w:val="0"/>
          <w:sz w:val="28"/>
          <w:szCs w:val="28"/>
          <w:lang w:val="en-US" w:eastAsia="zh-CN"/>
        </w:rPr>
        <w:t>3</w:t>
      </w:r>
      <w:r>
        <w:rPr>
          <w:rFonts w:ascii="Times New Roman" w:hAnsi="Times New Roman" w:eastAsia="黑体" w:cs="Times New Roman"/>
          <w:color w:val="auto"/>
          <w:spacing w:val="4"/>
          <w:sz w:val="28"/>
          <w:szCs w:val="28"/>
        </w:rPr>
        <w:t>损失率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560" w:firstLineChars="200"/>
        <w:textAlignment w:val="auto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eastAsia="zh-CN"/>
        </w:rPr>
        <w:t>收获作业后，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联合收割机各部分损失籽粒质量占应收籽粒总质量的百分比。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textAlignment w:val="auto"/>
        <w:outlineLvl w:val="1"/>
        <w:rPr>
          <w:rFonts w:ascii="Times New Roman" w:hAnsi="Times New Roman" w:eastAsia="黑体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color w:val="auto"/>
          <w:kern w:val="0"/>
          <w:sz w:val="28"/>
          <w:szCs w:val="28"/>
        </w:rPr>
        <w:t>4  测量工具和辅助设备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ind w:firstLine="2800" w:firstLineChars="10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测量工具和辅助设备明细</w:t>
      </w:r>
      <w:r>
        <w:rPr>
          <w:rFonts w:hint="eastAsia" w:ascii="Times New Roman" w:hAnsi="Times New Roman" w:eastAsia="仿宋_GB2312" w:cs="仿宋_GB2312"/>
          <w:sz w:val="28"/>
          <w:szCs w:val="28"/>
        </w:rPr>
        <w:t>表</w:t>
      </w:r>
    </w:p>
    <w:tbl>
      <w:tblPr>
        <w:tblStyle w:val="8"/>
        <w:tblW w:w="86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1267"/>
        <w:gridCol w:w="1250"/>
        <w:gridCol w:w="933"/>
        <w:gridCol w:w="2717"/>
        <w:gridCol w:w="1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1267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名称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要求</w:t>
            </w:r>
          </w:p>
        </w:tc>
        <w:tc>
          <w:tcPr>
            <w:tcW w:w="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数量</w:t>
            </w:r>
          </w:p>
        </w:tc>
        <w:tc>
          <w:tcPr>
            <w:tcW w:w="27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用途</w:t>
            </w:r>
          </w:p>
        </w:tc>
        <w:tc>
          <w:tcPr>
            <w:tcW w:w="17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267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电子天平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精度0.1g</w:t>
            </w:r>
          </w:p>
        </w:tc>
        <w:tc>
          <w:tcPr>
            <w:tcW w:w="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1台</w:t>
            </w:r>
          </w:p>
        </w:tc>
        <w:tc>
          <w:tcPr>
            <w:tcW w:w="27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损失籽粒质量测定</w:t>
            </w:r>
          </w:p>
        </w:tc>
        <w:tc>
          <w:tcPr>
            <w:tcW w:w="17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exact"/>
          <w:jc w:val="center"/>
        </w:trPr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267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测亩仪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1台</w:t>
            </w:r>
          </w:p>
        </w:tc>
        <w:tc>
          <w:tcPr>
            <w:tcW w:w="27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测定收获作业面积</w:t>
            </w:r>
          </w:p>
        </w:tc>
        <w:tc>
          <w:tcPr>
            <w:tcW w:w="17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可用手机APP</w:t>
            </w: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br w:type="textWrapping"/>
            </w: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测亩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eastAsia="zh-CN"/>
              </w:rPr>
              <w:t>仪</w:t>
            </w: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代替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计时器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21"/>
              </w:tabs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1台</w:t>
            </w:r>
          </w:p>
        </w:tc>
        <w:tc>
          <w:tcPr>
            <w:tcW w:w="27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测定收获作业时间</w:t>
            </w:r>
          </w:p>
        </w:tc>
        <w:tc>
          <w:tcPr>
            <w:tcW w:w="17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可用手机代替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钢卷尺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5m</w:t>
            </w:r>
          </w:p>
        </w:tc>
        <w:tc>
          <w:tcPr>
            <w:tcW w:w="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1个</w:t>
            </w:r>
          </w:p>
        </w:tc>
        <w:tc>
          <w:tcPr>
            <w:tcW w:w="27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测定联合收割机工作幅宽</w:t>
            </w:r>
          </w:p>
        </w:tc>
        <w:tc>
          <w:tcPr>
            <w:tcW w:w="17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钢直尺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50cm</w:t>
            </w:r>
          </w:p>
        </w:tc>
        <w:tc>
          <w:tcPr>
            <w:tcW w:w="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1个</w:t>
            </w:r>
          </w:p>
        </w:tc>
        <w:tc>
          <w:tcPr>
            <w:tcW w:w="27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测定收获后留茬高度</w:t>
            </w:r>
          </w:p>
        </w:tc>
        <w:tc>
          <w:tcPr>
            <w:tcW w:w="17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剪刀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1把</w:t>
            </w:r>
          </w:p>
        </w:tc>
        <w:tc>
          <w:tcPr>
            <w:tcW w:w="27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麦穗处理</w:t>
            </w:r>
          </w:p>
        </w:tc>
        <w:tc>
          <w:tcPr>
            <w:tcW w:w="17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textAlignment w:val="auto"/>
        <w:outlineLvl w:val="1"/>
        <w:rPr>
          <w:rFonts w:ascii="Times New Roman" w:hAnsi="Times New Roman" w:eastAsia="黑体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color w:val="auto"/>
          <w:kern w:val="0"/>
          <w:sz w:val="28"/>
          <w:szCs w:val="28"/>
        </w:rPr>
        <w:t>5  作业条件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textAlignment w:val="auto"/>
        <w:outlineLvl w:val="1"/>
        <w:rPr>
          <w:rFonts w:ascii="Times New Roman" w:hAnsi="Times New Roman" w:eastAsia="黑体" w:cs="Times New Roman"/>
          <w:color w:val="auto"/>
          <w:spacing w:val="4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color w:val="auto"/>
          <w:spacing w:val="4"/>
          <w:kern w:val="0"/>
          <w:sz w:val="28"/>
          <w:szCs w:val="28"/>
        </w:rPr>
        <w:t>5.1  农艺条件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ind w:firstLine="560" w:firstLineChars="200"/>
        <w:textAlignment w:val="auto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eastAsia="zh-CN"/>
        </w:rPr>
        <w:t>水稻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宜处于蜡熟末期至完熟期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eastAsia="zh-CN"/>
        </w:rPr>
        <w:t>、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不倒伏，产量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eastAsia="zh-CN"/>
        </w:rPr>
        <w:t>不低于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当地平均产量水平；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eastAsia="zh-CN"/>
        </w:rPr>
        <w:t>籽粒含水率在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15%—28%之间；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收割后割茬高度应符合当地农艺要求（由县级农业农村部门提出）。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textAlignment w:val="auto"/>
        <w:outlineLvl w:val="1"/>
        <w:rPr>
          <w:rFonts w:ascii="Times New Roman" w:hAnsi="Times New Roman" w:eastAsia="黑体" w:cs="Times New Roman"/>
          <w:color w:val="auto"/>
          <w:spacing w:val="4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color w:val="auto"/>
          <w:spacing w:val="4"/>
          <w:kern w:val="0"/>
          <w:sz w:val="28"/>
          <w:szCs w:val="28"/>
        </w:rPr>
        <w:t>5.2  地块条件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ind w:firstLine="560" w:firstLineChars="200"/>
        <w:textAlignment w:val="auto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地块相对集中连片（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20分钟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作业时间内不需要进行地块转移），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eastAsia="zh-CN"/>
        </w:rPr>
        <w:t>地表应不陷脚、无积水，田块无明显杂草，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地块内电线杆等障碍物较少。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textAlignment w:val="auto"/>
        <w:outlineLvl w:val="1"/>
        <w:rPr>
          <w:rFonts w:ascii="Times New Roman" w:hAnsi="Times New Roman" w:eastAsia="黑体" w:cs="Times New Roman"/>
          <w:color w:val="auto"/>
          <w:spacing w:val="4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color w:val="auto"/>
          <w:spacing w:val="4"/>
          <w:kern w:val="0"/>
          <w:sz w:val="28"/>
          <w:szCs w:val="28"/>
        </w:rPr>
        <w:t>5.3  环境条件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ind w:firstLine="560" w:firstLineChars="200"/>
        <w:textAlignment w:val="auto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不应在雨天或雨后收割，风力应小于5级，应在露水消散后作业。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textAlignment w:val="auto"/>
        <w:outlineLvl w:val="1"/>
        <w:rPr>
          <w:rFonts w:ascii="Times New Roman" w:hAnsi="Times New Roman" w:eastAsia="黑体" w:cs="Times New Roman"/>
          <w:color w:val="auto"/>
          <w:spacing w:val="4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color w:val="auto"/>
          <w:spacing w:val="4"/>
          <w:kern w:val="0"/>
          <w:sz w:val="28"/>
          <w:szCs w:val="28"/>
        </w:rPr>
        <w:t>5.4  机具条件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ind w:firstLine="560" w:firstLineChars="200"/>
        <w:textAlignment w:val="auto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机具应提前进行检查和保养，做好机具调试，可在临近地块进行试割，确保机具达到正常作业状态。收获作业时，联合收割机应处于收获作业标准档位，以正常的作业速度作业。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textAlignment w:val="auto"/>
        <w:outlineLvl w:val="1"/>
        <w:rPr>
          <w:rFonts w:ascii="Times New Roman" w:hAnsi="Times New Roman" w:eastAsia="黑体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color w:val="auto"/>
          <w:kern w:val="0"/>
          <w:sz w:val="28"/>
          <w:szCs w:val="28"/>
        </w:rPr>
        <w:t>6  作业条件判定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textAlignment w:val="auto"/>
        <w:rPr>
          <w:rFonts w:ascii="Times New Roman" w:hAnsi="Times New Roman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color w:val="auto"/>
          <w:spacing w:val="4"/>
          <w:kern w:val="0"/>
          <w:sz w:val="28"/>
          <w:szCs w:val="28"/>
        </w:rPr>
        <w:t>6.1</w:t>
      </w:r>
      <w:r>
        <w:rPr>
          <w:rFonts w:ascii="Times New Roman" w:hAnsi="Times New Roman" w:cs="Times New Roman"/>
          <w:color w:val="auto"/>
          <w:kern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按照上文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判定农艺条件、地块条件、环境条件和机具条件等是否符合，符合条件的作为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标准工况进行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评测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，按照下文测定方法进行测评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textAlignment w:val="auto"/>
        <w:outlineLvl w:val="1"/>
        <w:rPr>
          <w:rFonts w:ascii="Times New Roman" w:hAnsi="Times New Roman" w:cs="Times New Roman"/>
          <w:color w:val="auto"/>
          <w:spacing w:val="4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color w:val="auto"/>
          <w:spacing w:val="4"/>
          <w:kern w:val="0"/>
          <w:sz w:val="28"/>
          <w:szCs w:val="28"/>
        </w:rPr>
        <w:t xml:space="preserve">6.2  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不符合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标准工况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条件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，如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eastAsia="zh-CN"/>
        </w:rPr>
        <w:t>地块湿滑、有积水，水稻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过熟或倒伏，雨天或露水等特殊条件，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鼓励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机手自愿挑战，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参照下文测定方法进行测评。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textAlignment w:val="auto"/>
        <w:outlineLvl w:val="1"/>
        <w:rPr>
          <w:rFonts w:ascii="Times New Roman" w:hAnsi="Times New Roman" w:eastAsia="黑体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color w:val="auto"/>
          <w:kern w:val="0"/>
          <w:sz w:val="28"/>
          <w:szCs w:val="28"/>
        </w:rPr>
        <w:t>7  测定方法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textAlignment w:val="auto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7.1  按照上文作业条件与机手确定收获地块，进行20分钟收获作业，使用测亩仪测其面积，记录作业面积。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textAlignment w:val="auto"/>
        <w:rPr>
          <w:rFonts w:ascii="Times New Roman" w:hAnsi="Times New Roman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 xml:space="preserve">7.2 </w:t>
      </w:r>
      <w:r>
        <w:rPr>
          <w:rFonts w:ascii="Times New Roman" w:hAnsi="Times New Roman" w:cs="Times New Roman"/>
          <w:color w:val="auto"/>
          <w:kern w:val="0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按照GB/T 5667—2008《农业机械 生产试验方法》6.1.2的规定测算作业小时生产率。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jc w:val="center"/>
        <w:textAlignment w:val="auto"/>
        <w:rPr>
          <w:rFonts w:ascii="Times New Roman" w:hAnsi="Times New Roman" w:eastAsia="仿宋" w:cs="Times New Roman"/>
          <w:color w:val="auto"/>
          <w:sz w:val="28"/>
          <w:szCs w:val="28"/>
        </w:rPr>
      </w:pPr>
      <m:oMathPara>
        <m:oMath>
          <m:r>
            <m:rPr/>
            <w:rPr>
              <w:rFonts w:ascii="Cambria Math" w:hAnsi="Cambria Math" w:eastAsia="仿宋" w:cs="Times New Roman"/>
              <w:color w:val="auto"/>
              <w:sz w:val="28"/>
              <w:szCs w:val="28"/>
            </w:rPr>
            <m:t>E=</m:t>
          </m:r>
          <m:f>
            <m:fPr>
              <m:ctrlPr>
                <w:rPr>
                  <w:rFonts w:ascii="Cambria Math" w:hAnsi="Cambria Math" w:eastAsia="仿宋" w:cs="Times New Roman"/>
                  <w:color w:val="auto"/>
                  <w:sz w:val="28"/>
                  <w:szCs w:val="28"/>
                </w:rPr>
              </m:ctrlPr>
            </m:fPr>
            <m:num>
              <m:r>
                <m:rPr/>
                <w:rPr>
                  <w:rFonts w:ascii="Cambria Math" w:hAnsi="Cambria Math" w:eastAsia="仿宋" w:cs="Times New Roman"/>
                  <w:color w:val="auto"/>
                  <w:sz w:val="28"/>
                  <w:szCs w:val="28"/>
                </w:rPr>
                <m:t>S</m:t>
              </m:r>
              <m:ctrlPr>
                <w:rPr>
                  <w:rFonts w:ascii="Cambria Math" w:hAnsi="Cambria Math" w:eastAsia="仿宋" w:cs="Times New Roman"/>
                  <w:color w:val="auto"/>
                  <w:sz w:val="28"/>
                  <w:szCs w:val="28"/>
                </w:rPr>
              </m:ctrlPr>
            </m:num>
            <m:den>
              <m:r>
                <m:rPr/>
                <w:rPr>
                  <w:rFonts w:ascii="Cambria Math" w:hAnsi="Cambria Math" w:eastAsia="MS Gothic" w:cs="Times New Roman"/>
                  <w:color w:val="auto"/>
                  <w:sz w:val="28"/>
                  <w:szCs w:val="28"/>
                </w:rPr>
                <m:t>ℎ</m:t>
              </m:r>
              <m:ctrlPr>
                <w:rPr>
                  <w:rFonts w:ascii="Cambria Math" w:hAnsi="Cambria Math" w:eastAsia="仿宋" w:cs="Times New Roman"/>
                  <w:color w:val="auto"/>
                  <w:sz w:val="28"/>
                  <w:szCs w:val="28"/>
                </w:rPr>
              </m:ctrlPr>
            </m:den>
          </m:f>
        </m:oMath>
      </m:oMathPara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textAlignment w:val="auto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式中：</w:t>
      </w:r>
      <m:oMath>
        <m:r>
          <m:rPr>
            <m:sty m:val="p"/>
          </m:rPr>
          <w:rPr>
            <w:rFonts w:ascii="Cambria Math" w:hAnsi="Cambria Math" w:eastAsia="仿宋_GB2312" w:cs="Times New Roman"/>
            <w:color w:val="auto"/>
            <w:kern w:val="0"/>
            <w:sz w:val="28"/>
            <w:szCs w:val="28"/>
          </w:rPr>
          <m:t>S</m:t>
        </m:r>
      </m:oMath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—实际收获作业面积，单位为：亩，由测亩仪直接测出；</w:t>
      </w:r>
      <m:oMath>
        <m:r>
          <m:rPr>
            <m:sty m:val="p"/>
          </m:rPr>
          <w:rPr>
            <w:rFonts w:ascii="Cambria Math" w:hAnsi="Cambria Math" w:eastAsia="仿宋_GB2312" w:cs="Times New Roman"/>
            <w:color w:val="auto"/>
            <w:kern w:val="0"/>
            <w:sz w:val="28"/>
            <w:szCs w:val="28"/>
          </w:rPr>
          <m:t>h</m:t>
        </m:r>
      </m:oMath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 xml:space="preserve"> —作业时间，单位为：小时，本活动中</w:t>
      </w:r>
      <m:oMath>
        <m:r>
          <m:rPr>
            <m:sty m:val="p"/>
          </m:rPr>
          <w:rPr>
            <w:rFonts w:ascii="Cambria Math" w:hAnsi="Cambria Math" w:eastAsia="仿宋_GB2312" w:cs="Times New Roman"/>
            <w:color w:val="auto"/>
            <w:kern w:val="0"/>
            <w:sz w:val="28"/>
            <w:szCs w:val="28"/>
          </w:rPr>
          <m:t>h</m:t>
        </m:r>
      </m:oMath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 xml:space="preserve"> =0.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333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；</w:t>
      </w:r>
      <m:oMath>
        <m:r>
          <m:rPr>
            <m:sty m:val="p"/>
          </m:rPr>
          <w:rPr>
            <w:rFonts w:ascii="Cambria Math" w:hAnsi="Cambria Math" w:eastAsia="仿宋_GB2312" w:cs="Times New Roman"/>
            <w:color w:val="auto"/>
            <w:kern w:val="0"/>
            <w:sz w:val="28"/>
            <w:szCs w:val="28"/>
          </w:rPr>
          <m:t>E</m:t>
        </m:r>
      </m:oMath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—作业小时生产率，单位为：亩/小时。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textAlignment w:val="auto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7.3  按照下列公式测算单位幅宽作业小时生产率。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jc w:val="center"/>
        <w:textAlignment w:val="auto"/>
        <w:rPr>
          <w:rFonts w:ascii="Times New Roman" w:hAnsi="Times New Roman" w:eastAsia="仿宋" w:cs="Times New Roman"/>
          <w:color w:val="auto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eastAsia="仿宋" w:cs="Times New Roman"/>
                  <w:i/>
                  <w:color w:val="auto"/>
                  <w:sz w:val="28"/>
                  <w:szCs w:val="28"/>
                </w:rPr>
              </m:ctrlPr>
            </m:sSubPr>
            <m:e>
              <m:r>
                <m:rPr/>
                <w:rPr>
                  <w:rFonts w:ascii="Cambria Math" w:hAnsi="Cambria Math" w:eastAsia="仿宋" w:cs="Times New Roman"/>
                  <w:color w:val="auto"/>
                  <w:sz w:val="28"/>
                  <w:szCs w:val="28"/>
                </w:rPr>
                <m:t>E</m:t>
              </m:r>
              <m:ctrlPr>
                <w:rPr>
                  <w:rFonts w:ascii="Cambria Math" w:hAnsi="Cambria Math" w:eastAsia="仿宋" w:cs="Times New Roman"/>
                  <w:i/>
                  <w:color w:val="auto"/>
                  <w:sz w:val="28"/>
                  <w:szCs w:val="28"/>
                </w:rPr>
              </m:ctrlPr>
            </m:e>
            <m:sub>
              <m:r>
                <m:rPr/>
                <w:rPr>
                  <w:rFonts w:ascii="Cambria Math" w:hAnsi="Cambria Math" w:eastAsia="仿宋" w:cs="Times New Roman"/>
                  <w:color w:val="auto"/>
                  <w:sz w:val="28"/>
                  <w:szCs w:val="28"/>
                </w:rPr>
                <m:t>L</m:t>
              </m:r>
              <m:ctrlPr>
                <w:rPr>
                  <w:rFonts w:ascii="Cambria Math" w:hAnsi="Cambria Math" w:eastAsia="仿宋" w:cs="Times New Roman"/>
                  <w:i/>
                  <w:color w:val="auto"/>
                  <w:sz w:val="28"/>
                  <w:szCs w:val="28"/>
                </w:rPr>
              </m:ctrlPr>
            </m:sub>
          </m:sSub>
          <m:r>
            <m:rPr/>
            <w:rPr>
              <w:rFonts w:ascii="Cambria Math" w:hAnsi="Cambria Math" w:eastAsia="仿宋" w:cs="Times New Roman"/>
              <w:color w:val="auto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eastAsia="仿宋" w:cs="Times New Roman"/>
                  <w:color w:val="auto"/>
                  <w:sz w:val="28"/>
                  <w:szCs w:val="28"/>
                </w:rPr>
              </m:ctrlPr>
            </m:fPr>
            <m:num>
              <m:r>
                <m:rPr/>
                <w:rPr>
                  <w:rFonts w:ascii="Cambria Math" w:hAnsi="Cambria Math" w:eastAsia="仿宋" w:cs="Times New Roman"/>
                  <w:color w:val="auto"/>
                  <w:sz w:val="28"/>
                  <w:szCs w:val="28"/>
                </w:rPr>
                <m:t>E</m:t>
              </m:r>
              <m:ctrlPr>
                <w:rPr>
                  <w:rFonts w:ascii="Cambria Math" w:hAnsi="Cambria Math" w:eastAsia="仿宋" w:cs="Times New Roman"/>
                  <w:color w:val="auto"/>
                  <w:sz w:val="28"/>
                  <w:szCs w:val="28"/>
                </w:rPr>
              </m:ctrlPr>
            </m:num>
            <m:den>
              <m:r>
                <m:rPr/>
                <w:rPr>
                  <w:rFonts w:ascii="Cambria Math" w:hAnsi="Cambria Math" w:eastAsia="仿宋" w:cs="Times New Roman"/>
                  <w:color w:val="auto"/>
                  <w:sz w:val="28"/>
                  <w:szCs w:val="28"/>
                </w:rPr>
                <m:t>L</m:t>
              </m:r>
              <m:ctrlPr>
                <w:rPr>
                  <w:rFonts w:ascii="Cambria Math" w:hAnsi="Cambria Math" w:eastAsia="仿宋" w:cs="Times New Roman"/>
                  <w:color w:val="auto"/>
                  <w:sz w:val="28"/>
                  <w:szCs w:val="28"/>
                </w:rPr>
              </m:ctrlPr>
            </m:den>
          </m:f>
        </m:oMath>
      </m:oMathPara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textAlignment w:val="auto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式中：</w:t>
      </w:r>
      <m:oMath>
        <m:r>
          <m:rPr>
            <m:sty m:val="p"/>
          </m:rPr>
          <w:rPr>
            <w:rFonts w:ascii="Cambria Math" w:hAnsi="Cambria Math" w:eastAsia="仿宋_GB2312" w:cs="Times New Roman"/>
            <w:color w:val="auto"/>
            <w:kern w:val="0"/>
            <w:sz w:val="28"/>
            <w:szCs w:val="28"/>
          </w:rPr>
          <m:t xml:space="preserve"> L</m:t>
        </m:r>
      </m:oMath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—联合收割机工作幅宽，单位为：米；</w:t>
      </w:r>
      <m:oMath>
        <m:sSub>
          <m:sSubPr>
            <m:ctrlPr>
              <w:rPr>
                <w:rFonts w:ascii="Cambria Math" w:hAnsi="Cambria Math" w:eastAsia="仿宋_GB2312" w:cs="Times New Roman"/>
                <w:color w:val="auto"/>
                <w:kern w:val="0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eastAsia="仿宋_GB2312" w:cs="Times New Roman"/>
                <w:color w:val="auto"/>
                <w:kern w:val="0"/>
                <w:sz w:val="28"/>
                <w:szCs w:val="28"/>
              </w:rPr>
              <m:t>E</m:t>
            </m:r>
            <m:ctrlPr>
              <w:rPr>
                <w:rFonts w:ascii="Cambria Math" w:hAnsi="Cambria Math" w:eastAsia="仿宋_GB2312" w:cs="Times New Roman"/>
                <w:color w:val="auto"/>
                <w:kern w:val="0"/>
                <w:sz w:val="28"/>
                <w:szCs w:val="28"/>
              </w:rPr>
            </m:ctrlPr>
          </m:e>
          <m:sub>
            <m:r>
              <m:rPr>
                <m:sty m:val="p"/>
              </m:rPr>
              <w:rPr>
                <w:rFonts w:ascii="Cambria Math" w:hAnsi="Cambria Math" w:eastAsia="仿宋_GB2312" w:cs="Times New Roman"/>
                <w:color w:val="auto"/>
                <w:kern w:val="0"/>
                <w:sz w:val="28"/>
                <w:szCs w:val="28"/>
              </w:rPr>
              <m:t>L</m:t>
            </m:r>
            <m:ctrlPr>
              <w:rPr>
                <w:rFonts w:ascii="Cambria Math" w:hAnsi="Cambria Math" w:eastAsia="仿宋_GB2312" w:cs="Times New Roman"/>
                <w:color w:val="auto"/>
                <w:kern w:val="0"/>
                <w:sz w:val="28"/>
                <w:szCs w:val="28"/>
              </w:rPr>
            </m:ctrlPr>
          </m:sub>
        </m:sSub>
      </m:oMath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—单位幅宽作业小时生产率，单位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eastAsia="zh-CN"/>
        </w:rPr>
        <w:t>为：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>亩/小时∙米。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7.4  收获作业后，在收割机稳定作业区域，往返两个行程内随机选取两个取样区，每个区域为沿联合收割机前进方向长度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m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eastAsia="zh-CN"/>
        </w:rPr>
        <w:t>（工作幅宽</w:t>
      </w:r>
      <w:bookmarkStart w:id="1" w:name="_GoBack"/>
      <w:bookmarkEnd w:id="1"/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eastAsia="zh-CN"/>
        </w:rPr>
        <w:t>大于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2m时，取长度0.5m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eastAsia="zh-CN"/>
        </w:rPr>
        <w:t>）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，宽为联合收割机工作幅宽。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jc w:val="left"/>
        <w:textAlignment w:val="auto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7.5  分别收集各取样区域内夹杂在秸秆和杂余内的籽粒、穗头（不含超出取样区域部分）上未脱净的籽粒和掉落在地面的籽粒，脱粒去杂后称其质量（忽略自然落粒），按照下列公示计算每个取样区的损失率。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jc w:val="center"/>
        <w:textAlignment w:val="auto"/>
        <w:rPr>
          <w:rFonts w:ascii="Times New Roman" w:hAnsi="Times New Roman" w:eastAsia="仿宋"/>
          <w:color w:val="auto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eastAsia="仿宋"/>
                  <w:i/>
                  <w:color w:val="auto"/>
                  <w:sz w:val="28"/>
                  <w:szCs w:val="28"/>
                </w:rPr>
              </m:ctrlPr>
            </m:sSubPr>
            <m:e>
              <m:r>
                <m:rPr/>
                <w:rPr>
                  <w:rFonts w:ascii="Cambria Math" w:hAnsi="Cambria Math" w:eastAsia="仿宋"/>
                  <w:color w:val="auto"/>
                  <w:sz w:val="28"/>
                  <w:szCs w:val="28"/>
                </w:rPr>
                <m:t>S</m:t>
              </m:r>
              <m:ctrlPr>
                <w:rPr>
                  <w:rFonts w:ascii="Cambria Math" w:hAnsi="Cambria Math" w:eastAsia="仿宋"/>
                  <w:i/>
                  <w:color w:val="auto"/>
                  <w:sz w:val="28"/>
                  <w:szCs w:val="28"/>
                </w:rPr>
              </m:ctrlPr>
            </m:e>
            <m:sub>
              <m:r>
                <m:rPr/>
                <w:rPr>
                  <w:rFonts w:ascii="Cambria Math" w:hAnsi="Cambria Math" w:eastAsia="仿宋"/>
                  <w:color w:val="auto"/>
                  <w:sz w:val="28"/>
                  <w:szCs w:val="28"/>
                </w:rPr>
                <m:t>i</m:t>
              </m:r>
              <m:ctrlPr>
                <w:rPr>
                  <w:rFonts w:ascii="Cambria Math" w:hAnsi="Cambria Math" w:eastAsia="仿宋"/>
                  <w:i/>
                  <w:color w:val="auto"/>
                  <w:sz w:val="28"/>
                  <w:szCs w:val="28"/>
                </w:rPr>
              </m:ctrlPr>
            </m:sub>
          </m:sSub>
          <m:r>
            <m:rPr/>
            <w:rPr>
              <w:rFonts w:ascii="Cambria Math" w:hAnsi="Cambria Math" w:eastAsia="仿宋"/>
              <w:color w:val="auto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eastAsia="仿宋"/>
                  <w:color w:val="auto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eastAsia="仿宋"/>
                      <w:i/>
                      <w:color w:val="auto"/>
                      <w:sz w:val="28"/>
                      <w:szCs w:val="28"/>
                    </w:rPr>
                  </m:ctrlPr>
                </m:sSubPr>
                <m:e>
                  <m:r>
                    <m:rPr/>
                    <w:rPr>
                      <w:rFonts w:ascii="Cambria Math" w:hAnsi="Cambria Math" w:eastAsia="仿宋"/>
                      <w:color w:val="auto"/>
                      <w:sz w:val="28"/>
                      <w:szCs w:val="28"/>
                    </w:rPr>
                    <m:t>W</m:t>
                  </m:r>
                  <m:ctrlPr>
                    <w:rPr>
                      <w:rFonts w:ascii="Cambria Math" w:hAnsi="Cambria Math" w:eastAsia="仿宋"/>
                      <w:i/>
                      <w:color w:val="auto"/>
                      <w:sz w:val="28"/>
                      <w:szCs w:val="28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仿宋"/>
                      <w:color w:val="auto"/>
                      <w:sz w:val="28"/>
                      <w:szCs w:val="28"/>
                    </w:rPr>
                    <m:t>i</m:t>
                  </m:r>
                  <m:ctrlPr>
                    <w:rPr>
                      <w:rFonts w:ascii="Cambria Math" w:hAnsi="Cambria Math" w:eastAsia="仿宋"/>
                      <w:i/>
                      <w:color w:val="auto"/>
                      <w:sz w:val="28"/>
                      <w:szCs w:val="28"/>
                    </w:rPr>
                  </m:ctrlPr>
                </m:sub>
              </m:sSub>
              <m:ctrlPr>
                <w:rPr>
                  <w:rFonts w:ascii="Cambria Math" w:hAnsi="Cambria Math" w:eastAsia="仿宋"/>
                  <w:color w:val="auto"/>
                  <w:sz w:val="28"/>
                  <w:szCs w:val="28"/>
                </w:rPr>
              </m:ctrlPr>
            </m:num>
            <m:den>
              <m:r>
                <m:rPr/>
                <w:rPr>
                  <w:rFonts w:hint="eastAsia" w:ascii="Cambria Math" w:hAnsi="Cambria Math" w:eastAsia="仿宋"/>
                  <w:color w:val="auto"/>
                  <w:sz w:val="28"/>
                  <w:szCs w:val="28"/>
                </w:rPr>
                <m:t>M</m:t>
              </m:r>
              <m:r>
                <m:rPr/>
                <w:rPr>
                  <w:rFonts w:ascii="Cambria Math" w:hAnsi="Cambria Math" w:eastAsia="仿宋"/>
                  <w:color w:val="auto"/>
                  <w:sz w:val="28"/>
                  <w:szCs w:val="28"/>
                </w:rPr>
                <m:t>×</m:t>
              </m:r>
              <m:r>
                <m:rPr/>
                <w:rPr>
                  <w:rFonts w:hint="eastAsia" w:ascii="Cambria Math" w:hAnsi="Cambria Math" w:eastAsia="仿宋"/>
                  <w:color w:val="auto"/>
                  <w:sz w:val="28"/>
                  <w:szCs w:val="28"/>
                </w:rPr>
                <m:t>L</m:t>
              </m:r>
              <m:r>
                <m:rPr/>
                <w:rPr>
                  <w:rFonts w:ascii="Cambria Math" w:hAnsi="Cambria Math" w:eastAsia="仿宋"/>
                  <w:color w:val="auto"/>
                  <w:sz w:val="28"/>
                  <w:szCs w:val="28"/>
                </w:rPr>
                <m:t>×</m:t>
              </m:r>
              <m:r>
                <m:rPr/>
                <w:rPr>
                  <w:rFonts w:hint="eastAsia" w:ascii="DejaVu Math TeX Gyre" w:hAnsi="DejaVu Math TeX Gyre" w:eastAsia="仿宋"/>
                  <w:color w:val="auto"/>
                  <w:sz w:val="28"/>
                  <w:szCs w:val="28"/>
                  <w:lang w:val="en-US" w:eastAsia="zh-CN"/>
                </w:rPr>
                <m:t>X</m:t>
              </m:r>
              <m:ctrlPr>
                <w:rPr>
                  <w:rFonts w:ascii="Cambria Math" w:hAnsi="Cambria Math" w:eastAsia="仿宋"/>
                  <w:color w:val="auto"/>
                  <w:sz w:val="28"/>
                  <w:szCs w:val="28"/>
                </w:rPr>
              </m:ctrlPr>
            </m:den>
          </m:f>
          <m:r>
            <m:rPr/>
            <w:rPr>
              <w:rFonts w:ascii="Cambria Math" w:hAnsi="Cambria Math" w:eastAsia="仿宋"/>
              <w:color w:val="auto"/>
              <w:sz w:val="28"/>
              <w:szCs w:val="28"/>
            </w:rPr>
            <m:t>×</m:t>
          </m:r>
          <m:f>
            <m:fPr>
              <m:ctrlPr>
                <w:rPr>
                  <w:rFonts w:ascii="Cambria Math" w:hAnsi="Cambria Math" w:eastAsia="仿宋"/>
                  <w:i/>
                  <w:color w:val="auto"/>
                  <w:sz w:val="28"/>
                  <w:szCs w:val="28"/>
                </w:rPr>
              </m:ctrlPr>
            </m:fPr>
            <m:num>
              <m:r>
                <m:rPr/>
                <w:rPr>
                  <w:rFonts w:ascii="Cambria Math" w:hAnsi="Cambria Math" w:eastAsia="仿宋"/>
                  <w:color w:val="auto"/>
                  <w:sz w:val="28"/>
                  <w:szCs w:val="28"/>
                </w:rPr>
                <m:t>666.66</m:t>
              </m:r>
              <m:ctrlPr>
                <w:rPr>
                  <w:rFonts w:ascii="Cambria Math" w:hAnsi="Cambria Math" w:eastAsia="仿宋"/>
                  <w:i/>
                  <w:color w:val="auto"/>
                  <w:sz w:val="28"/>
                  <w:szCs w:val="28"/>
                </w:rPr>
              </m:ctrlPr>
            </m:num>
            <m:den>
              <m:r>
                <m:rPr/>
                <w:rPr>
                  <w:rFonts w:ascii="Cambria Math" w:hAnsi="Cambria Math" w:eastAsia="仿宋"/>
                  <w:color w:val="auto"/>
                  <w:sz w:val="28"/>
                  <w:szCs w:val="28"/>
                </w:rPr>
                <m:t>1000</m:t>
              </m:r>
              <m:ctrlPr>
                <w:rPr>
                  <w:rFonts w:ascii="Cambria Math" w:hAnsi="Cambria Math" w:eastAsia="仿宋"/>
                  <w:i/>
                  <w:color w:val="auto"/>
                  <w:sz w:val="28"/>
                  <w:szCs w:val="28"/>
                </w:rPr>
              </m:ctrlPr>
            </m:den>
          </m:f>
          <m:r>
            <m:rPr/>
            <w:rPr>
              <w:rFonts w:ascii="Cambria Math" w:hAnsi="Cambria Math" w:eastAsia="仿宋"/>
              <w:color w:val="auto"/>
              <w:sz w:val="28"/>
              <w:szCs w:val="28"/>
            </w:rPr>
            <m:t>×100</m:t>
          </m:r>
        </m:oMath>
      </m:oMathPara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0" w:firstLineChars="0"/>
        <w:textAlignment w:val="auto"/>
        <w:rPr>
          <w:rFonts w:ascii="Times New Roman" w:hAnsi="Times New Roman" w:eastAsia="仿宋_GB2312"/>
          <w:color w:val="auto"/>
          <w:sz w:val="28"/>
          <w:szCs w:val="28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</w:rPr>
        <w:t xml:space="preserve">式中： </w:t>
      </w:r>
      <m:oMath>
        <m:sSub>
          <m:sSubPr>
            <m:ctrlPr>
              <w:rPr>
                <w:rFonts w:hint="eastAsia" w:ascii="Cambria Math" w:hAnsi="Cambria Math" w:eastAsia="仿宋_GB2312"/>
                <w:i/>
                <w:color w:val="auto"/>
                <w:kern w:val="2"/>
                <w:sz w:val="28"/>
                <w:szCs w:val="28"/>
              </w:rPr>
            </m:ctrlPr>
          </m:sSubPr>
          <m:e>
            <m:r>
              <m:rPr/>
              <w:rPr>
                <w:rFonts w:hint="eastAsia" w:ascii="Cambria Math" w:hAnsi="Cambria Math" w:eastAsia="仿宋_GB2312"/>
                <w:color w:val="auto"/>
                <w:sz w:val="28"/>
                <w:szCs w:val="28"/>
              </w:rPr>
              <m:t>S</m:t>
            </m:r>
            <m:ctrlPr>
              <w:rPr>
                <w:rFonts w:hint="eastAsia" w:ascii="Cambria Math" w:hAnsi="Cambria Math" w:eastAsia="仿宋_GB2312"/>
                <w:i/>
                <w:color w:val="auto"/>
                <w:kern w:val="2"/>
                <w:sz w:val="28"/>
                <w:szCs w:val="28"/>
              </w:rPr>
            </m:ctrlPr>
          </m:e>
          <m:sub>
            <m:r>
              <m:rPr/>
              <w:rPr>
                <w:rFonts w:hint="eastAsia" w:ascii="Cambria Math" w:hAnsi="Cambria Math" w:eastAsia="仿宋_GB2312"/>
                <w:color w:val="auto"/>
                <w:sz w:val="28"/>
                <w:szCs w:val="28"/>
              </w:rPr>
              <m:t>i</m:t>
            </m:r>
            <m:ctrlPr>
              <w:rPr>
                <w:rFonts w:hint="eastAsia" w:ascii="Cambria Math" w:hAnsi="Cambria Math" w:eastAsia="仿宋_GB2312"/>
                <w:i/>
                <w:color w:val="auto"/>
                <w:kern w:val="2"/>
                <w:sz w:val="28"/>
                <w:szCs w:val="28"/>
              </w:rPr>
            </m:ctrlPr>
          </m:sub>
        </m:sSub>
      </m:oMath>
      <w:r>
        <w:rPr>
          <w:rFonts w:hint="eastAsia" w:ascii="Times New Roman" w:hAnsi="Times New Roman" w:eastAsia="仿宋_GB2312"/>
          <w:color w:val="auto"/>
          <w:sz w:val="28"/>
          <w:szCs w:val="28"/>
        </w:rPr>
        <w:t>—第i个取样区损失率，单位为：%；</w:t>
      </w:r>
      <m:oMath>
        <m:r>
          <m:rPr/>
          <w:rPr>
            <w:rFonts w:hint="eastAsia" w:ascii="Cambria Math" w:hAnsi="Cambria Math" w:eastAsia="仿宋_GB2312"/>
            <w:color w:val="auto"/>
            <w:kern w:val="2"/>
            <w:sz w:val="28"/>
            <w:szCs w:val="28"/>
          </w:rPr>
          <m:t xml:space="preserve"> </m:t>
        </m:r>
        <m:sSub>
          <m:sSubPr>
            <m:ctrlPr>
              <w:rPr>
                <w:rFonts w:hint="eastAsia" w:ascii="Cambria Math" w:hAnsi="Cambria Math" w:eastAsia="仿宋_GB2312"/>
                <w:i/>
                <w:color w:val="auto"/>
                <w:kern w:val="2"/>
                <w:sz w:val="28"/>
                <w:szCs w:val="28"/>
              </w:rPr>
            </m:ctrlPr>
          </m:sSubPr>
          <m:e>
            <m:r>
              <m:rPr/>
              <w:rPr>
                <w:rFonts w:hint="eastAsia" w:ascii="Cambria Math" w:hAnsi="Cambria Math" w:eastAsia="仿宋_GB2312"/>
                <w:color w:val="auto"/>
                <w:kern w:val="2"/>
                <w:sz w:val="28"/>
                <w:szCs w:val="28"/>
              </w:rPr>
              <m:t>W</m:t>
            </m:r>
            <m:ctrlPr>
              <w:rPr>
                <w:rFonts w:hint="eastAsia" w:ascii="Cambria Math" w:hAnsi="Cambria Math" w:eastAsia="仿宋_GB2312"/>
                <w:i/>
                <w:color w:val="auto"/>
                <w:kern w:val="2"/>
                <w:sz w:val="28"/>
                <w:szCs w:val="28"/>
              </w:rPr>
            </m:ctrlPr>
          </m:e>
          <m:sub>
            <m:r>
              <m:rPr/>
              <w:rPr>
                <w:rFonts w:hint="eastAsia" w:ascii="Cambria Math" w:hAnsi="Cambria Math" w:eastAsia="仿宋_GB2312"/>
                <w:color w:val="auto"/>
                <w:sz w:val="28"/>
                <w:szCs w:val="28"/>
              </w:rPr>
              <m:t>i</m:t>
            </m:r>
            <m:ctrlPr>
              <w:rPr>
                <w:rFonts w:hint="eastAsia" w:ascii="Cambria Math" w:hAnsi="Cambria Math" w:eastAsia="仿宋_GB2312"/>
                <w:i/>
                <w:color w:val="auto"/>
                <w:kern w:val="2"/>
                <w:sz w:val="28"/>
                <w:szCs w:val="28"/>
              </w:rPr>
            </m:ctrlPr>
          </m:sub>
        </m:sSub>
      </m:oMath>
      <w:r>
        <w:rPr>
          <w:rFonts w:hint="eastAsia" w:ascii="Times New Roman" w:hAnsi="Times New Roman" w:eastAsia="仿宋_GB2312"/>
          <w:color w:val="auto"/>
          <w:sz w:val="28"/>
          <w:szCs w:val="28"/>
        </w:rPr>
        <w:t>—第i个取样区内</w:t>
      </w:r>
      <w:r>
        <w:rPr>
          <w:rFonts w:hint="eastAsia" w:ascii="Times New Roman" w:eastAsia="仿宋_GB2312"/>
          <w:color w:val="auto"/>
          <w:sz w:val="28"/>
          <w:szCs w:val="28"/>
          <w:lang w:eastAsia="zh-CN"/>
        </w:rPr>
        <w:t>水稻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籽粒损失质量，单位为：克；</w:t>
      </w:r>
      <m:oMath>
        <m:r>
          <m:rPr/>
          <w:rPr>
            <w:rFonts w:hint="eastAsia" w:ascii="Cambria Math" w:hAnsi="Cambria Math" w:eastAsia="仿宋_GB2312"/>
            <w:color w:val="auto"/>
            <w:sz w:val="28"/>
            <w:szCs w:val="28"/>
          </w:rPr>
          <m:t>M</m:t>
        </m:r>
      </m:oMath>
      <w:r>
        <w:rPr>
          <w:rFonts w:hint="eastAsia" w:ascii="Times New Roman" w:hAnsi="Times New Roman" w:eastAsia="仿宋_GB2312"/>
          <w:color w:val="auto"/>
          <w:sz w:val="28"/>
          <w:szCs w:val="28"/>
        </w:rPr>
        <w:t>—单位面积</w:t>
      </w:r>
      <w:r>
        <w:rPr>
          <w:rFonts w:hint="eastAsia" w:ascii="Times New Roman" w:eastAsia="仿宋_GB2312"/>
          <w:color w:val="auto"/>
          <w:sz w:val="28"/>
          <w:szCs w:val="28"/>
          <w:lang w:eastAsia="zh-CN"/>
        </w:rPr>
        <w:t>水稻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籽粒产量，单位为：千克/亩</w:t>
      </w:r>
      <w:r>
        <w:rPr>
          <w:rFonts w:hint="eastAsia" w:ascii="Times New Roman" w:eastAsia="仿宋_GB2312"/>
          <w:color w:val="auto"/>
          <w:sz w:val="28"/>
          <w:szCs w:val="28"/>
          <w:lang w:val="en-US" w:eastAsia="zh-CN"/>
        </w:rPr>
        <w:t>；X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—</w:t>
      </w:r>
      <w:r>
        <w:rPr>
          <w:rFonts w:hint="eastAsia" w:ascii="Times New Roman" w:eastAsia="仿宋_GB2312"/>
          <w:color w:val="auto"/>
          <w:sz w:val="28"/>
          <w:szCs w:val="28"/>
          <w:lang w:eastAsia="zh-CN"/>
        </w:rPr>
        <w:t>取样区长度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，</w:t>
      </w:r>
      <w:r>
        <w:rPr>
          <w:rFonts w:hint="eastAsia" w:ascii="Times New Roman" w:eastAsia="仿宋_GB2312"/>
          <w:color w:val="auto"/>
          <w:sz w:val="28"/>
          <w:szCs w:val="28"/>
          <w:lang w:val="en-US" w:eastAsia="zh-CN"/>
        </w:rPr>
        <w:t>单位为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：</w:t>
      </w:r>
      <w:r>
        <w:rPr>
          <w:rFonts w:hint="eastAsia" w:ascii="Times New Roman" w:eastAsia="仿宋_GB2312"/>
          <w:color w:val="auto"/>
          <w:sz w:val="28"/>
          <w:szCs w:val="28"/>
          <w:lang w:eastAsia="zh-CN"/>
        </w:rPr>
        <w:t>米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jc w:val="left"/>
        <w:textAlignment w:val="auto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7.6  因测定时间和条件有限，本次活动中，以近三年（2017年、2018年、2019年）当地（县级行政区划）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eastAsia="zh-CN"/>
        </w:rPr>
        <w:t>水稻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平均亩产量代替单位面积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eastAsia="zh-CN"/>
        </w:rPr>
        <w:t>水稻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籽粒产量，数据由当地农业农村局在活动测评开始前提供给专家小组；忽略自然落粒影响。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jc w:val="left"/>
        <w:textAlignment w:val="auto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7.7  按照下列公式计算平均损失率。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jc w:val="center"/>
        <w:textAlignment w:val="auto"/>
        <w:rPr>
          <w:rFonts w:ascii="Times New Roman" w:hAnsi="Times New Roman" w:eastAsia="仿宋"/>
          <w:color w:val="auto"/>
          <w:sz w:val="28"/>
          <w:szCs w:val="28"/>
        </w:rPr>
      </w:pPr>
      <m:oMathPara>
        <m:oMath>
          <m:r>
            <m:rPr/>
            <w:rPr>
              <w:rFonts w:ascii="Cambria Math" w:hAnsi="Cambria Math" w:eastAsia="仿宋"/>
              <w:color w:val="auto"/>
              <w:sz w:val="28"/>
              <w:szCs w:val="28"/>
            </w:rPr>
            <m:t>S=</m:t>
          </m:r>
          <m:f>
            <m:fPr>
              <m:ctrlPr>
                <w:rPr>
                  <w:rFonts w:ascii="Cambria Math" w:hAnsi="Cambria Math" w:eastAsia="仿宋"/>
                  <w:color w:val="auto"/>
                  <w:sz w:val="28"/>
                  <w:szCs w:val="28"/>
                </w:rPr>
              </m:ctrlPr>
            </m:fPr>
            <m:num>
              <m:nary>
                <m:naryPr>
                  <m:chr m:val="∑"/>
                  <m:limLoc m:val="undOvr"/>
                  <m:subHide m:val="true"/>
                  <m:supHide m:val="true"/>
                  <m:ctrlPr>
                    <w:rPr>
                      <w:rFonts w:ascii="Cambria Math" w:hAnsi="Cambria Math" w:eastAsia="仿宋"/>
                      <w:i/>
                      <w:color w:val="auto"/>
                      <w:sz w:val="28"/>
                      <w:szCs w:val="28"/>
                    </w:rPr>
                  </m:ctrlPr>
                </m:naryPr>
                <m:sub>
                  <m:ctrlPr>
                    <w:rPr>
                      <w:rFonts w:ascii="Cambria Math" w:hAnsi="Cambria Math" w:eastAsia="仿宋"/>
                      <w:i/>
                      <w:color w:val="auto"/>
                      <w:sz w:val="28"/>
                      <w:szCs w:val="28"/>
                    </w:rPr>
                  </m:ctrlPr>
                </m:sub>
                <m:sup>
                  <m:ctrlPr>
                    <w:rPr>
                      <w:rFonts w:ascii="Cambria Math" w:hAnsi="Cambria Math" w:eastAsia="仿宋"/>
                      <w:i/>
                      <w:color w:val="auto"/>
                      <w:sz w:val="28"/>
                      <w:szCs w:val="28"/>
                    </w:rPr>
                  </m:ctrlPr>
                </m:sup>
                <m:e>
                  <m:sSub>
                    <m:sSubPr>
                      <m:ctrlPr>
                        <w:rPr>
                          <w:rFonts w:ascii="Cambria Math" w:hAnsi="Cambria Math" w:eastAsia="仿宋"/>
                          <w:i/>
                          <w:color w:val="auto"/>
                          <w:sz w:val="28"/>
                          <w:szCs w:val="28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 w:eastAsia="仿宋"/>
                          <w:color w:val="auto"/>
                          <w:sz w:val="28"/>
                          <w:szCs w:val="28"/>
                        </w:rPr>
                        <m:t>S</m:t>
                      </m:r>
                      <m:ctrlPr>
                        <w:rPr>
                          <w:rFonts w:ascii="Cambria Math" w:hAnsi="Cambria Math" w:eastAsia="仿宋"/>
                          <w:i/>
                          <w:color w:val="auto"/>
                          <w:sz w:val="28"/>
                          <w:szCs w:val="28"/>
                        </w:rPr>
                      </m:ctrlPr>
                    </m:e>
                    <m:sub>
                      <m:r>
                        <m:rPr/>
                        <w:rPr>
                          <w:rFonts w:ascii="Cambria Math" w:hAnsi="Cambria Math" w:eastAsia="仿宋"/>
                          <w:color w:val="auto"/>
                          <w:sz w:val="28"/>
                          <w:szCs w:val="28"/>
                        </w:rPr>
                        <m:t>i</m:t>
                      </m:r>
                      <m:ctrlPr>
                        <w:rPr>
                          <w:rFonts w:ascii="Cambria Math" w:hAnsi="Cambria Math" w:eastAsia="仿宋"/>
                          <w:i/>
                          <w:color w:val="auto"/>
                          <w:sz w:val="28"/>
                          <w:szCs w:val="28"/>
                        </w:rPr>
                      </m:ctrlPr>
                    </m:sub>
                  </m:sSub>
                  <m:ctrlPr>
                    <w:rPr>
                      <w:rFonts w:ascii="Cambria Math" w:hAnsi="Cambria Math" w:eastAsia="仿宋"/>
                      <w:i/>
                      <w:color w:val="auto"/>
                      <w:sz w:val="28"/>
                      <w:szCs w:val="28"/>
                    </w:rPr>
                  </m:ctrlPr>
                </m:e>
              </m:nary>
              <m:ctrlPr>
                <w:rPr>
                  <w:rFonts w:ascii="Cambria Math" w:hAnsi="Cambria Math" w:eastAsia="仿宋"/>
                  <w:color w:val="auto"/>
                  <w:sz w:val="28"/>
                  <w:szCs w:val="28"/>
                </w:rPr>
              </m:ctrlPr>
            </m:num>
            <m:den>
              <m:r>
                <m:rPr/>
                <w:rPr>
                  <w:rFonts w:ascii="Cambria Math" w:hAnsi="Cambria Math" w:eastAsia="仿宋"/>
                  <w:color w:val="auto"/>
                  <w:sz w:val="28"/>
                  <w:szCs w:val="28"/>
                </w:rPr>
                <m:t>n</m:t>
              </m:r>
              <m:ctrlPr>
                <w:rPr>
                  <w:rFonts w:ascii="Cambria Math" w:hAnsi="Cambria Math" w:eastAsia="仿宋"/>
                  <w:color w:val="auto"/>
                  <w:sz w:val="28"/>
                  <w:szCs w:val="28"/>
                </w:rPr>
              </m:ctrlPr>
            </m:den>
          </m:f>
        </m:oMath>
      </m:oMathPara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式中： S—平均损失率，单位为：%；n—取样点数量，单位为：个，本活动中n =2。</w:t>
      </w:r>
    </w:p>
    <w:sectPr>
      <w:footerReference r:id="rId3" w:type="default"/>
      <w:pgSz w:w="11906" w:h="16838"/>
      <w:pgMar w:top="158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mbria Math">
    <w:altName w:val="DejaVu Math TeX Gyre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MS Gothic">
    <w:altName w:val="方正书宋_GBK"/>
    <w:panose1 w:val="020B0609070205080204"/>
    <w:charset w:val="80"/>
    <w:family w:val="modern"/>
    <w:pitch w:val="default"/>
    <w:sig w:usb0="00000000" w:usb1="00000000" w:usb2="00000012" w:usb3="00000000" w:csb0="4002009F" w:csb1="DFD7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EA2025"/>
    <w:multiLevelType w:val="multilevel"/>
    <w:tmpl w:val="6CEA2025"/>
    <w:lvl w:ilvl="0" w:tentative="0">
      <w:start w:val="1"/>
      <w:numFmt w:val="none"/>
      <w:pStyle w:val="15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17"/>
      <w:suff w:val="nothing"/>
      <w:lvlText w:val="%1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420" w:firstLine="0"/>
      </w:pPr>
      <w:rPr>
        <w:rFonts w:hint="eastAsia" w:ascii="黑体" w:hAnsi="Times New Roman" w:eastAsia="黑体"/>
        <w:b w:val="0"/>
        <w:i w:val="0"/>
        <w:color w:val="00000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42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false"/>
  <w:bordersDoNotSurroundFooter w:val="fals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F17B07"/>
    <w:rsid w:val="01EF5AD1"/>
    <w:rsid w:val="06A81429"/>
    <w:rsid w:val="07D16973"/>
    <w:rsid w:val="080D60EB"/>
    <w:rsid w:val="096FCB82"/>
    <w:rsid w:val="09FC17DB"/>
    <w:rsid w:val="0B9B4269"/>
    <w:rsid w:val="0C3901CE"/>
    <w:rsid w:val="0CC662C3"/>
    <w:rsid w:val="0CCB0D2F"/>
    <w:rsid w:val="0CFA1204"/>
    <w:rsid w:val="0E4A7BE9"/>
    <w:rsid w:val="104B6BFD"/>
    <w:rsid w:val="143903F6"/>
    <w:rsid w:val="163B3004"/>
    <w:rsid w:val="16702D07"/>
    <w:rsid w:val="16B95BE4"/>
    <w:rsid w:val="18DF70E3"/>
    <w:rsid w:val="1BD055CD"/>
    <w:rsid w:val="1BEFAAD7"/>
    <w:rsid w:val="1C6DFD0E"/>
    <w:rsid w:val="1C712C56"/>
    <w:rsid w:val="1CFF540F"/>
    <w:rsid w:val="1D5465A4"/>
    <w:rsid w:val="1FCC11A3"/>
    <w:rsid w:val="232B5284"/>
    <w:rsid w:val="23315B88"/>
    <w:rsid w:val="23B07725"/>
    <w:rsid w:val="258006CC"/>
    <w:rsid w:val="265E10A8"/>
    <w:rsid w:val="26906F05"/>
    <w:rsid w:val="298419BF"/>
    <w:rsid w:val="2CB34052"/>
    <w:rsid w:val="2CDF0846"/>
    <w:rsid w:val="30CF5C59"/>
    <w:rsid w:val="34223E7B"/>
    <w:rsid w:val="356668FE"/>
    <w:rsid w:val="387406B4"/>
    <w:rsid w:val="3A141104"/>
    <w:rsid w:val="3AF71ABB"/>
    <w:rsid w:val="3D0F6A0E"/>
    <w:rsid w:val="3D1940EC"/>
    <w:rsid w:val="3D2F0824"/>
    <w:rsid w:val="3D5E2DC1"/>
    <w:rsid w:val="3F7EFBBC"/>
    <w:rsid w:val="3F7F585B"/>
    <w:rsid w:val="3FBF64B6"/>
    <w:rsid w:val="4138716F"/>
    <w:rsid w:val="42355045"/>
    <w:rsid w:val="428448CF"/>
    <w:rsid w:val="435351A6"/>
    <w:rsid w:val="44026AE0"/>
    <w:rsid w:val="44E62AF6"/>
    <w:rsid w:val="450C60D3"/>
    <w:rsid w:val="487E6C42"/>
    <w:rsid w:val="4ACF7FEB"/>
    <w:rsid w:val="4B1114E6"/>
    <w:rsid w:val="4BA662FC"/>
    <w:rsid w:val="4BAF4831"/>
    <w:rsid w:val="4D7A415E"/>
    <w:rsid w:val="4D9C273E"/>
    <w:rsid w:val="4FF73E19"/>
    <w:rsid w:val="4FF76C0D"/>
    <w:rsid w:val="54745435"/>
    <w:rsid w:val="547A2973"/>
    <w:rsid w:val="555242B2"/>
    <w:rsid w:val="586D4D26"/>
    <w:rsid w:val="59500805"/>
    <w:rsid w:val="59AA57EB"/>
    <w:rsid w:val="5E5C9F98"/>
    <w:rsid w:val="5EDD6787"/>
    <w:rsid w:val="5EE84608"/>
    <w:rsid w:val="600D1E16"/>
    <w:rsid w:val="618A58B8"/>
    <w:rsid w:val="61B23E1A"/>
    <w:rsid w:val="63563E62"/>
    <w:rsid w:val="63F973B7"/>
    <w:rsid w:val="640416FC"/>
    <w:rsid w:val="641D4E23"/>
    <w:rsid w:val="64494598"/>
    <w:rsid w:val="64AD5562"/>
    <w:rsid w:val="64DF3A3F"/>
    <w:rsid w:val="65316D9A"/>
    <w:rsid w:val="65A20ACE"/>
    <w:rsid w:val="66DF0D7A"/>
    <w:rsid w:val="670546B8"/>
    <w:rsid w:val="67F64F85"/>
    <w:rsid w:val="6BEF32DE"/>
    <w:rsid w:val="6CE13D6F"/>
    <w:rsid w:val="6D3378D8"/>
    <w:rsid w:val="6EE79FC6"/>
    <w:rsid w:val="6EFDC860"/>
    <w:rsid w:val="6FB79F72"/>
    <w:rsid w:val="6FE363D5"/>
    <w:rsid w:val="7025787B"/>
    <w:rsid w:val="71443456"/>
    <w:rsid w:val="71DC3354"/>
    <w:rsid w:val="72407473"/>
    <w:rsid w:val="7241373A"/>
    <w:rsid w:val="734A13B5"/>
    <w:rsid w:val="73BB7518"/>
    <w:rsid w:val="73F763E0"/>
    <w:rsid w:val="7524538A"/>
    <w:rsid w:val="7550576C"/>
    <w:rsid w:val="75683B94"/>
    <w:rsid w:val="768A5666"/>
    <w:rsid w:val="76A01482"/>
    <w:rsid w:val="770B33BC"/>
    <w:rsid w:val="77BECB10"/>
    <w:rsid w:val="78FE2185"/>
    <w:rsid w:val="793D319D"/>
    <w:rsid w:val="7BB643B7"/>
    <w:rsid w:val="7C7C1BF9"/>
    <w:rsid w:val="7CE8BAC5"/>
    <w:rsid w:val="7CFE88A5"/>
    <w:rsid w:val="7DD43F85"/>
    <w:rsid w:val="7DDF0259"/>
    <w:rsid w:val="7DFF0867"/>
    <w:rsid w:val="7DFF59A2"/>
    <w:rsid w:val="7EC04DD2"/>
    <w:rsid w:val="7EFE1860"/>
    <w:rsid w:val="7F3DBEE8"/>
    <w:rsid w:val="7F437196"/>
    <w:rsid w:val="7F5D6AE5"/>
    <w:rsid w:val="7F5D7A6F"/>
    <w:rsid w:val="7FFB6656"/>
    <w:rsid w:val="7FFF2744"/>
    <w:rsid w:val="7FFFA68A"/>
    <w:rsid w:val="974F38F5"/>
    <w:rsid w:val="A9E90019"/>
    <w:rsid w:val="AD73C5F2"/>
    <w:rsid w:val="BFFADABA"/>
    <w:rsid w:val="D62FB93E"/>
    <w:rsid w:val="DCFABDEB"/>
    <w:rsid w:val="DF78149B"/>
    <w:rsid w:val="DFD94903"/>
    <w:rsid w:val="E3F9AF69"/>
    <w:rsid w:val="EFFFCEA4"/>
    <w:rsid w:val="F7DFFFFC"/>
    <w:rsid w:val="FACFF1CC"/>
    <w:rsid w:val="FB3705F6"/>
    <w:rsid w:val="FDEFCC4D"/>
    <w:rsid w:val="FDFE3D8D"/>
    <w:rsid w:val="FE45B38D"/>
    <w:rsid w:val="FE7D9EE4"/>
    <w:rsid w:val="FEFB5444"/>
    <w:rsid w:val="FF7FB71A"/>
    <w:rsid w:val="FFE19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Autospacing="1"/>
      <w:jc w:val="center"/>
      <w:outlineLvl w:val="0"/>
    </w:pPr>
    <w:rPr>
      <w:rFonts w:hint="eastAsia" w:ascii="宋体" w:hAnsi="宋体"/>
      <w:b/>
      <w:kern w:val="44"/>
      <w:sz w:val="44"/>
      <w:szCs w:val="48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Plain Text"/>
    <w:basedOn w:val="1"/>
    <w:qFormat/>
    <w:uiPriority w:val="0"/>
    <w:pPr>
      <w:spacing w:line="240" w:lineRule="auto"/>
    </w:pPr>
    <w:rPr>
      <w:rFonts w:ascii="宋体" w:hAnsi="Courier New" w:eastAsia="宋体" w:cs="Courier New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6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4">
    <w:name w:val="目次、标准名称标题"/>
    <w:basedOn w:val="15"/>
    <w:next w:val="16"/>
    <w:qFormat/>
    <w:uiPriority w:val="0"/>
    <w:pPr>
      <w:spacing w:line="460" w:lineRule="exact"/>
    </w:pPr>
  </w:style>
  <w:style w:type="paragraph" w:customStyle="1" w:styleId="15">
    <w:name w:val="前言、引言标题"/>
    <w:next w:val="1"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kern w:val="0"/>
      <w:sz w:val="32"/>
      <w:szCs w:val="20"/>
      <w:lang w:val="en-US" w:eastAsia="zh-CN" w:bidi="ar-SA"/>
    </w:rPr>
  </w:style>
  <w:style w:type="paragraph" w:customStyle="1" w:styleId="16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17">
    <w:name w:val="章标题"/>
    <w:next w:val="16"/>
    <w:qFormat/>
    <w:uiPriority w:val="0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hAnsi="Times New Roman" w:eastAsia="黑体" w:cs="Times New Roman"/>
      <w:kern w:val="0"/>
      <w:sz w:val="21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2021-07-01T15:00:00Z</dcterms:created>
  <dc:creator>丁仕华</dc:creator>
  <cp:lastModifiedBy>user</cp:lastModifiedBy>
  <cp:lastPrinted>2021-09-26T01:14:00Z</cp:lastPrinted>
  <dcterms:modified xsi:type="dcterms:W3CDTF">2021-09-28T09:42:25Z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</Properties>
</file>