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rPr>
          <w:color w:val="000000" w:themeColor="text1"/>
        </w:rPr>
      </w:pPr>
      <w:bookmarkStart w:id="0" w:name="SectionMark0"/>
      <w:r>
        <w:rPr>
          <w:rFonts w:ascii="黑体" w:hAnsi="黑体" w:eastAsia="黑体" w:cs="黑体"/>
          <w:color w:val="000000" w:themeColor="text1"/>
          <w:sz w:val="28"/>
          <w:szCs w:val="28"/>
        </w:rPr>
        <w:pict>
          <v:shape id="_x0000_s1026" o:spid="_x0000_s1026" o:spt="202" type="#_x0000_t202" style="position:absolute;left:0pt;margin-left:255.1pt;margin-top:180.1pt;height:34.8pt;width:275.9pt;mso-position-horizontal-relative:page;mso-position-vertical-relative:page;z-index:251656192;mso-width-relative:page;mso-height-relative:page;" stroked="f" coordsize="21600,21600" o:gfxdata="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Vb84z2QAAAAwBAAAPAAAAAAAAAAEA&#10;IAAAACIAAABkcnMvZG93bnJldi54bWxQSwECFAAUAAAACACHTuJA34Izf9UBAACpAwAADgAAAAAA&#10;AAABACAAAAAoAQAAZHJzL2Uyb0RvYy54bWxQSwUGAAAAAAYABgBZAQAAbwUAAAAA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38"/>
                    <w:snapToGrid w:val="0"/>
                    <w:spacing w:before="0" w:line="240" w:lineRule="auto"/>
                    <w:ind w:right="42"/>
                    <w:rPr>
                      <w:rFonts w:hint="default" w:ascii="黑体" w:hAnsi="黑体" w:eastAsia="黑体" w:cs="黑体"/>
                      <w:lang w:val="en-US" w:eastAsia="zh-CN"/>
                    </w:rPr>
                  </w:pPr>
                  <w:r>
                    <w:rPr>
                      <w:rFonts w:ascii="黑体" w:hAnsi="黑体" w:eastAsia="黑体" w:cs="黑体"/>
                      <w:szCs w:val="28"/>
                    </w:rPr>
                    <w:t xml:space="preserve">  DG22/Z </w:t>
                  </w:r>
                  <w:r>
                    <w:rPr>
                      <w:rFonts w:hint="eastAsia" w:ascii="黑体" w:hAnsi="黑体" w:eastAsia="黑体" w:cs="黑体"/>
                      <w:lang w:val="en-US" w:eastAsia="zh-CN"/>
                    </w:rPr>
                    <w:t>001</w:t>
                  </w:r>
                  <w:r>
                    <w:rPr>
                      <w:rFonts w:ascii="黑体" w:hAnsi="黑体" w:eastAsia="黑体" w:cs="黑体"/>
                      <w:szCs w:val="28"/>
                    </w:rPr>
                    <w:t>—</w:t>
                  </w:r>
                  <w:r>
                    <w:rPr>
                      <w:rFonts w:hint="eastAsia" w:ascii="黑体" w:hAnsi="黑体" w:eastAsia="黑体" w:cs="黑体"/>
                      <w:lang w:val="en-US" w:eastAsia="zh-CN"/>
                    </w:rPr>
                    <w:t>2021</w:t>
                  </w:r>
                </w:p>
                <w:p>
                  <w:pPr>
                    <w:pStyle w:val="38"/>
                    <w:wordWrap w:val="0"/>
                    <w:snapToGrid w:val="0"/>
                    <w:spacing w:before="0" w:line="240" w:lineRule="auto"/>
                    <w:ind w:right="42"/>
                    <w:rPr>
                      <w:rFonts w:ascii="宋体" w:hAnsi="宋体" w:cs="宋体"/>
                      <w:color w:val="000000" w:themeColor="text1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1"/>
                      <w:szCs w:val="21"/>
                    </w:rPr>
                    <w:t>代替DG22/Z 001-2020,DG23/Z 005-2020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color w:val="000000" w:themeColor="text1"/>
          <w:sz w:val="28"/>
          <w:szCs w:val="28"/>
        </w:rPr>
        <w:t>备案号：Z备2021 051号</w:t>
      </w:r>
      <w:r>
        <w:rPr>
          <w:color w:val="000000" w:themeColor="text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color w:val="000000" w:themeColor="text1"/>
        </w:rPr>
        <w:instrText xml:space="preserve">ADDIN CNKISM.UserStyle</w:instrTex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pict>
          <v:shape id="_x0000_s1059" o:spid="_x0000_s1059" o:spt="202" type="#_x0000_t202" style="position:absolute;left:0pt;margin-left:352.65pt;margin-top:722.7pt;height:19.85pt;width:170.1pt;mso-position-horizontal-relative:page;mso-position-vertical-relative:page;z-index:251658240;mso-width-relative:page;mso-height-relative:page;" stroked="f" coordsize="21600,21600" o:gfxdata="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3oTGnbAAAADgEAAA8AAAAAAAAAAQAg&#10;AAAAIgAAAGRycy9kb3ducmV2LnhtbFBLAQIUABQAAAAIAIdO4kBE9siM0gEAAKkDAAAOAAAAAAAA&#10;AAEAIAAAACoBAABkcnMvZTJvRG9jLnhtbFBLBQYAAAAABgAGAFkBAABuBQAAAAA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34"/>
                    <w:adjustRightInd w:val="0"/>
                    <w:snapToGrid w:val="0"/>
                    <w:ind w:firstLine="140" w:firstLineChars="50"/>
                    <w:rPr>
                      <w:rFonts w:ascii="黑体"/>
                    </w:rPr>
                  </w:pPr>
                  <w:r>
                    <w:rPr>
                      <w:rFonts w:ascii="黑体"/>
                    </w:rPr>
                    <w:t>202</w:t>
                  </w:r>
                  <w:r>
                    <w:rPr>
                      <w:rFonts w:hint="eastAsia" w:ascii="黑体"/>
                    </w:rPr>
                    <w:t>1</w:t>
                  </w:r>
                  <w:r>
                    <w:rPr>
                      <w:rFonts w:ascii="黑体" w:hAnsi="黑体" w:eastAsia="黑体" w:cs="黑体"/>
                    </w:rPr>
                    <w:t>-</w:t>
                  </w:r>
                  <w:r>
                    <w:rPr>
                      <w:rFonts w:hint="eastAsia" w:ascii="黑体" w:hAnsi="黑体" w:eastAsia="黑体" w:cs="黑体"/>
                      <w:lang w:val="en-US" w:eastAsia="zh-CN"/>
                    </w:rPr>
                    <w:t>1</w:t>
                  </w:r>
                  <w:r>
                    <w:rPr>
                      <w:rFonts w:hint="default" w:ascii="黑体" w:hAnsi="黑体" w:eastAsia="黑体" w:cs="黑体"/>
                      <w:lang w:val="en" w:eastAsia="zh-CN"/>
                    </w:rPr>
                    <w:t>1</w:t>
                  </w:r>
                  <w:r>
                    <w:rPr>
                      <w:rFonts w:ascii="黑体" w:hAnsi="黑体" w:eastAsia="黑体" w:cs="黑体"/>
                    </w:rPr>
                    <w:t>-</w:t>
                  </w:r>
                  <w:r>
                    <w:rPr>
                      <w:rFonts w:hint="default" w:ascii="黑体" w:hAnsi="黑体" w:eastAsia="黑体" w:cs="黑体"/>
                      <w:lang w:val="en"/>
                    </w:rPr>
                    <w:t>02</w:t>
                  </w:r>
                  <w:r>
                    <w:rPr>
                      <w:rFonts w:hint="eastAsia" w:ascii="黑体" w:hAnsi="黑体" w:eastAsia="黑体" w:cs="黑体"/>
                    </w:rPr>
                    <w:t>实施</w:t>
                  </w:r>
                </w:p>
                <w:p>
                  <w:pPr>
                    <w:pStyle w:val="34"/>
                    <w:ind w:right="560" w:firstLine="140" w:firstLineChars="50"/>
                    <w:jc w:val="both"/>
                  </w:pPr>
                </w:p>
                <w:p>
                  <w:pPr>
                    <w:pStyle w:val="34"/>
                    <w:ind w:right="560" w:firstLine="140" w:firstLineChars="50"/>
                    <w:jc w:val="both"/>
                  </w:pPr>
                </w:p>
              </w:txbxContent>
            </v:textbox>
          </v:shape>
        </w:pict>
      </w:r>
      <w:r>
        <w:rPr>
          <w:color w:val="000000" w:themeColor="text1"/>
        </w:rPr>
        <w:pict>
          <v:shape id="_x0000_s1058" o:spid="_x0000_s1058" o:spt="202" type="#_x0000_t202" style="position:absolute;left:0pt;margin-left:69.2pt;margin-top:722.7pt;height:19.85pt;width:170.1pt;mso-position-horizontal-relative:page;mso-position-vertical-relative:page;z-index:251658240;mso-width-relative:page;mso-height-relative:page;" stroked="f" coordsize="21600,21600" o:gfxdata="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wgFQb2gAAAA0BAAAPAAAAAAAAAAEA&#10;IAAAACIAAABkcnMvZG93bnJldi54bWxQSwECFAAUAAAACACHTuJAWdP1WNQBAACpAwAADgAAAAAA&#10;AAABACAAAAApAQAAZHJzL2Uyb0RvYy54bWxQSwUGAAAAAAYABgBZAQAAbwUAAAAA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35"/>
                    <w:adjustRightInd w:val="0"/>
                    <w:snapToGrid w:val="0"/>
                    <w:spacing w:line="360" w:lineRule="auto"/>
                    <w:rPr>
                      <w:rFonts w:ascii="黑体"/>
                    </w:rPr>
                  </w:pPr>
                  <w:r>
                    <w:rPr>
                      <w:rFonts w:ascii="黑体"/>
                    </w:rPr>
                    <w:t>202</w:t>
                  </w:r>
                  <w:r>
                    <w:rPr>
                      <w:rFonts w:hint="eastAsia" w:ascii="黑体"/>
                    </w:rPr>
                    <w:t>1</w:t>
                  </w:r>
                  <w:r>
                    <w:rPr>
                      <w:rFonts w:ascii="黑体"/>
                    </w:rPr>
                    <w:t>-</w:t>
                  </w:r>
                  <w:r>
                    <w:rPr>
                      <w:rFonts w:hint="eastAsia" w:ascii="黑体" w:hAnsi="黑体" w:eastAsia="黑体" w:cs="黑体"/>
                      <w:lang w:val="en-US" w:eastAsia="zh-CN"/>
                    </w:rPr>
                    <w:t>1</w:t>
                  </w:r>
                  <w:r>
                    <w:rPr>
                      <w:rFonts w:hint="default" w:ascii="黑体" w:hAnsi="黑体" w:eastAsia="黑体" w:cs="黑体"/>
                      <w:lang w:val="en" w:eastAsia="zh-CN"/>
                    </w:rPr>
                    <w:t>1</w:t>
                  </w:r>
                  <w:r>
                    <w:rPr>
                      <w:rFonts w:ascii="黑体" w:hAnsi="黑体" w:eastAsia="黑体" w:cs="黑体"/>
                    </w:rPr>
                    <w:t>-</w:t>
                  </w:r>
                  <w:r>
                    <w:rPr>
                      <w:rFonts w:hint="default" w:ascii="黑体" w:hAnsi="黑体" w:eastAsia="黑体" w:cs="黑体"/>
                      <w:lang w:val="en"/>
                    </w:rPr>
                    <w:t>02</w:t>
                  </w:r>
                  <w:r>
                    <w:rPr>
                      <w:rFonts w:hint="eastAsia" w:ascii="黑体" w:hAnsi="黑体" w:eastAsia="黑体" w:cs="黑体"/>
                    </w:rPr>
                    <w:t>发布</w:t>
                  </w:r>
                </w:p>
              </w:txbxContent>
            </v:textbox>
          </v:shape>
        </w:pict>
      </w:r>
      <w:r>
        <w:rPr>
          <w:color w:val="000000" w:themeColor="text1"/>
        </w:rPr>
        <w:pict>
          <v:line id="_x0000_s1057" o:spid="_x0000_s1057" o:spt="20" style="position:absolute;left:0pt;margin-left:69.2pt;margin-top:747.8pt;height:0pt;width:453.55pt;mso-position-horizontal-relative:page;mso-position-vertical-relative:page;z-index:251661312;mso-width-relative:page;mso-height-relative:page;" coordsize="21600,21600" o:gfxdata="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OFZTO2gAAAA4BAAAPAAAAAAAAAAEAIAAAACIAAABkcnMvZG93bnJl&#10;di54bWxQSwECFAAUAAAACACHTuJAHenxXvsBAADzAwAADgAAAAAAAAABACAAAAApAQAAZHJzL2Uy&#10;b0RvYy54bWxQSwUGAAAAAAYABgBZAQAAlg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color w:val="000000" w:themeColor="text1"/>
        </w:rPr>
        <w:pict>
          <v:shape id="_x0000_s1056" o:spid="_x0000_s1056" o:spt="202" type="#_x0000_t202" style="position:absolute;left:0pt;margin-left:69.2pt;margin-top:747.8pt;height:28.35pt;width:453.55pt;mso-position-horizontal-relative:page;mso-position-vertical-relative:page;z-index:251659264;mso-width-relative:page;mso-height-relative:page;" stroked="f" coordsize="21600,21600" o:gfxdata="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2Ezz7bAAAADgEAAA8AAAAAAAAAAQAg&#10;AAAAIgAAAGRycy9kb3ducmV2LnhtbFBLAQIUABQAAAAIAIdO4kA8044A0gEAAKkDAAAOAAAAAAAA&#10;AAEAIAAAACoBAABkcnMvZTJvRG9jLnhtbFBLBQYAAAAABgAGAFkBAABuBQAAAAA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36"/>
                    <w:rPr>
                      <w:szCs w:val="36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吉林省农业农村厅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hint="eastAsia"/>
                      <w:sz w:val="28"/>
                      <w:szCs w:val="28"/>
                    </w:rPr>
                    <w:t>发布</w:t>
                  </w:r>
                </w:p>
              </w:txbxContent>
            </v:textbox>
          </v:shape>
        </w:pict>
      </w:r>
      <w:r>
        <w:rPr>
          <w:color w:val="000000" w:themeColor="text1"/>
        </w:rPr>
        <w:pict>
          <v:shape id="_x0000_s1055" o:spid="_x0000_s1055" o:spt="202" type="#_x0000_t202" style="position:absolute;left:0pt;margin-left:79.4pt;margin-top:130.4pt;height:41.9pt;width:453.55pt;mso-position-horizontal-relative:page;mso-position-vertical-relative:page;z-index:251654144;mso-width-relative:page;mso-height-relative:page;" stroked="f" coordsize="21600,21600" o:gfxdata="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s17tfaAAAADAEAAA8AAAAAAAAA&#10;AQAgAAAAIgAAAGRycy9kb3ducmV2LnhtbFBLAQIUABQAAAAIAIdO4kCZ3UZu1gEAAKkDAAAOAAAA&#10;AAAAAAEAIAAAACkBAABkcnMvZTJvRG9jLnhtbFBLBQYAAAAABgAGAFkBAABxBQAAAAA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40"/>
                    <w:rPr>
                      <w:rFonts w:hAnsi="黑体" w:eastAsia="黑体" w:cs="黑体"/>
                    </w:rPr>
                  </w:pPr>
                  <w:r>
                    <w:rPr>
                      <w:rFonts w:hint="eastAsia" w:hAnsi="黑体" w:eastAsia="黑体" w:cs="黑体"/>
                    </w:rPr>
                    <w:t>农业机械专项鉴定大纲</w:t>
                  </w:r>
                </w:p>
              </w:txbxContent>
            </v:textbox>
          </v:shape>
        </w:pict>
      </w:r>
      <w:r>
        <w:rPr>
          <w:color w:val="000000" w:themeColor="text1"/>
        </w:rPr>
        <w:pict>
          <v:shape id="_x0000_s1054" o:spid="_x0000_s1054" o:spt="202" type="#_x0000_t202" style="position:absolute;left:0pt;margin-left:338.65pt;margin-top:55.3pt;height:70.2pt;width:198.45pt;mso-position-horizontal-relative:page;mso-position-vertical-relative:page;z-index:251655168;mso-width-relative:page;mso-height-relative:page;" stroked="f" coordsize="21600,21600" o:gfxdata="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F12ej2QAAAAwBAAAPAAAAAAAAAAEA&#10;IAAAACIAAABkcnMvZG93bnJldi54bWxQSwECFAAUAAAACACHTuJAl+JuKtUBAACpAwAADgAAAAAA&#10;AAABACAAAAAoAQAAZHJzL2Uyb0RvYy54bWxQSwUGAAAAAAYABgBZAQAAbwUAAAAA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41"/>
                  </w:pPr>
                  <w:r>
                    <w:t>DG</w:t>
                  </w:r>
                </w:p>
              </w:txbxContent>
            </v:textbox>
          </v:shape>
        </w:pict>
      </w:r>
      <w:r>
        <w:rPr>
          <w:color w:val="000000" w:themeColor="text1"/>
        </w:rPr>
        <w:pict>
          <v:line id="_x0000_s1053" o:spid="_x0000_s1053" o:spt="20" style="position:absolute;left:0pt;margin-left:79.4pt;margin-top:215.45pt;height:0pt;width:453.55pt;mso-position-horizontal-relative:page;mso-position-vertical-relative:page;z-index:251660288;mso-width-relative:page;mso-height-relative:page;" coordsize="21600,21600" o:gfxdata="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FMGDddkAAAAMAQAADwAAAAAAAAABACAAAAAiAAAAZHJzL2Rvd25yZXYu&#10;eG1sUEsBAhQAFAAAAAgAh07iQL8t8VX6AQAA8wMAAA4AAAAAAAAAAQAgAAAAKAEAAGRycy9lMm9E&#10;b2MueG1sUEsFBgAAAAAGAAYAWQEAAJQ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color w:val="000000" w:themeColor="text1"/>
        </w:rPr>
        <w:pict>
          <v:shape id="_x0000_s1052" o:spid="_x0000_s1052" o:spt="202" type="#_x0000_t202" style="position:absolute;left:0pt;margin-left:79.4pt;margin-top:311.85pt;height:141.75pt;width:453.55pt;mso-position-horizontal-relative:page;mso-position-vertical-relative:page;z-index:251657216;mso-width-relative:page;mso-height-relative:page;" stroked="f" coordsize="21600,21600" o:gfxdata="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CIWqDaAAAADAEAAA8AAAAAAAAAAQAg&#10;AAAAIgAAAGRycy9kb3ducmV2LnhtbFBLAQIUABQAAAAIAIdO4kA8rRXX0wEAAKoDAAAOAAAAAAAA&#10;AAEAIAAAACkBAABkcnMvZTJvRG9jLnhtbFBLBQYAAAAABgAGAFkBAABuBQAAAAA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42"/>
                    <w:rPr>
                      <w:rFonts w:hAnsi="黑体" w:eastAsia="黑体" w:cs="黑体"/>
                    </w:rPr>
                  </w:pPr>
                  <w:r>
                    <w:rPr>
                      <w:rFonts w:hint="eastAsia" w:hAnsi="黑体" w:eastAsia="黑体" w:cs="黑体"/>
                    </w:rPr>
                    <w:t>条（带）耕作整地机</w:t>
                  </w:r>
                </w:p>
                <w:p>
                  <w:pPr>
                    <w:pStyle w:val="42"/>
                    <w:rPr>
                      <w:rFonts w:hint="eastAsia" w:ascii="宋体" w:eastAsia="宋体"/>
                      <w:sz w:val="44"/>
                      <w:szCs w:val="44"/>
                      <w:lang w:val="en-US" w:eastAsia="zh-CN"/>
                    </w:rPr>
                  </w:pPr>
                  <w:r>
                    <w:rPr>
                      <w:rFonts w:hint="eastAsia" w:ascii="宋体" w:hAnsi="宋体" w:cs="黑体"/>
                      <w:sz w:val="44"/>
                      <w:szCs w:val="44"/>
                      <w:lang w:val="en-US" w:eastAsia="zh-CN"/>
                    </w:rPr>
                    <w:t xml:space="preserve"> </w:t>
                  </w:r>
                </w:p>
              </w:txbxContent>
            </v:textbox>
          </v:shape>
        </w:pict>
      </w: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/>
    <w:p/>
    <w:p/>
    <w:p/>
    <w:p/>
    <w:p>
      <w:pPr>
        <w:tabs>
          <w:tab w:val="left" w:pos="2315"/>
        </w:tabs>
        <w:jc w:val="left"/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7" w:h="16839"/>
          <w:pgMar w:top="1418" w:right="1134" w:bottom="1134" w:left="1418" w:header="1021" w:footer="1021" w:gutter="0"/>
          <w:pgNumType w:start="1"/>
          <w:cols w:space="720" w:num="1"/>
          <w:titlePg/>
          <w:docGrid w:type="linesAndChars" w:linePitch="312" w:charSpace="0"/>
        </w:sectPr>
      </w:pPr>
      <w:r>
        <w:rPr>
          <w:rFonts w:hint="eastAsia"/>
        </w:rPr>
        <w:tab/>
      </w:r>
    </w:p>
    <w:bookmarkEnd w:id="0"/>
    <w:p>
      <w:pPr>
        <w:pStyle w:val="16"/>
      </w:pPr>
      <w:bookmarkStart w:id="1" w:name="_Toc400633491"/>
      <w:bookmarkStart w:id="2" w:name="SectionMark1"/>
      <w:r>
        <w:rPr>
          <w:rFonts w:hint="eastAsia" w:hAnsi="黑体" w:eastAsia="黑体" w:cs="黑体"/>
        </w:rPr>
        <w:t>目</w:t>
      </w:r>
      <w:r>
        <w:rPr>
          <w:rFonts w:hAnsi="黑体" w:eastAsia="黑体" w:cs="黑体"/>
        </w:rPr>
        <w:t xml:space="preserve">    </w:t>
      </w:r>
      <w:r>
        <w:rPr>
          <w:rFonts w:hint="eastAsia" w:hAnsi="黑体" w:eastAsia="黑体" w:cs="黑体"/>
        </w:rPr>
        <w:t>次</w:t>
      </w:r>
      <w:bookmarkEnd w:id="1"/>
    </w:p>
    <w:p>
      <w:pPr>
        <w:pStyle w:val="7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cs="宋体"/>
          <w:color w:val="FF0000"/>
        </w:rPr>
        <w:fldChar w:fldCharType="begin"/>
      </w:r>
      <w:r>
        <w:rPr>
          <w:rFonts w:cs="宋体"/>
          <w:color w:val="FF0000"/>
        </w:rPr>
        <w:instrText xml:space="preserve"> TOC \f \h \t "</w:instrText>
      </w:r>
      <w:r>
        <w:rPr>
          <w:rFonts w:hint="eastAsia" w:cs="宋体"/>
          <w:color w:val="FF0000"/>
        </w:rPr>
        <w:instrText xml:space="preserve">前言、引言标题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附录标识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参考文献、索引标题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章标题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附录章标题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一级条标题</w:instrText>
      </w:r>
      <w:r>
        <w:rPr>
          <w:rFonts w:cs="宋体"/>
          <w:color w:val="FF0000"/>
        </w:rPr>
        <w:instrText xml:space="preserve">,</w:instrText>
      </w:r>
      <w:r>
        <w:rPr>
          <w:rFonts w:hint="eastAsia" w:cs="宋体"/>
          <w:color w:val="FF0000"/>
        </w:rPr>
        <w:instrText xml:space="preserve">附录一级条标题</w:instrText>
      </w:r>
      <w:r>
        <w:rPr>
          <w:rFonts w:cs="宋体"/>
          <w:color w:val="FF0000"/>
        </w:rPr>
        <w:instrText xml:space="preserve">" </w:instrText>
      </w:r>
      <w:r>
        <w:rPr>
          <w:rFonts w:cs="宋体"/>
          <w:color w:val="FF0000"/>
        </w:rPr>
        <w:fldChar w:fldCharType="separate"/>
      </w:r>
      <w:r>
        <w:fldChar w:fldCharType="begin"/>
      </w:r>
      <w:r>
        <w:instrText xml:space="preserve"> HYPERLINK \l "_Toc7170178" </w:instrText>
      </w:r>
      <w:r>
        <w:fldChar w:fldCharType="separate"/>
      </w:r>
      <w:r>
        <w:rPr>
          <w:rStyle w:val="14"/>
          <w:rFonts w:hint="eastAsia" w:ascii="宋体" w:hAnsi="宋体"/>
        </w:rPr>
        <w:t>前言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_Toc7170178 \h </w:instrText>
      </w:r>
      <w:r>
        <w:rPr>
          <w:rFonts w:hAnsi="宋体"/>
        </w:rPr>
        <w:fldChar w:fldCharType="separate"/>
      </w:r>
      <w:r>
        <w:rPr>
          <w:rFonts w:hAnsi="宋体"/>
        </w:rPr>
        <w:t>II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4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"_Toc7170179" </w:instrText>
      </w:r>
      <w:r>
        <w:fldChar w:fldCharType="separate"/>
      </w:r>
      <w:r>
        <w:rPr>
          <w:rStyle w:val="14"/>
          <w:rFonts w:ascii="宋体" w:hAnsi="宋体"/>
        </w:rPr>
        <w:t xml:space="preserve">1 </w:t>
      </w:r>
      <w:r>
        <w:rPr>
          <w:rStyle w:val="14"/>
          <w:rFonts w:hint="eastAsia" w:ascii="宋体" w:hAnsi="宋体"/>
        </w:rPr>
        <w:t>范围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_Toc7170179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4"/>
        <w:tabs>
          <w:tab w:val="right" w:leader="dot" w:pos="9345"/>
        </w:tabs>
      </w:pPr>
      <w:r>
        <w:fldChar w:fldCharType="begin"/>
      </w:r>
      <w:r>
        <w:instrText xml:space="preserve"> HYPERLINK \l "_Toc7170180" </w:instrText>
      </w:r>
      <w:r>
        <w:fldChar w:fldCharType="separate"/>
      </w:r>
      <w:r>
        <w:rPr>
          <w:rStyle w:val="14"/>
          <w:rFonts w:ascii="宋体" w:hAnsi="宋体"/>
        </w:rPr>
        <w:t xml:space="preserve">2 </w:t>
      </w:r>
      <w:r>
        <w:rPr>
          <w:rStyle w:val="14"/>
          <w:rFonts w:hint="eastAsia" w:ascii="宋体" w:hAnsi="宋体"/>
        </w:rPr>
        <w:t>规范性引用文件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_Toc7170180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4"/>
        <w:tabs>
          <w:tab w:val="right" w:leader="dot" w:pos="9345"/>
        </w:tabs>
      </w:pPr>
      <w:r>
        <w:rPr>
          <w:rFonts w:hAnsi="宋体"/>
        </w:rPr>
        <w:t xml:space="preserve">3 </w:t>
      </w:r>
      <w:r>
        <w:rPr>
          <w:rFonts w:hint="eastAsia" w:hAnsi="宋体"/>
        </w:rPr>
        <w:t>术语和定义</w:t>
      </w:r>
      <w:r>
        <w:fldChar w:fldCharType="begin"/>
      </w:r>
      <w:r>
        <w:instrText xml:space="preserve"> HYPERLINK \l "_Toc7170181" </w:instrText>
      </w:r>
      <w:r>
        <w:fldChar w:fldCharType="separate"/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_Toc7170181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hAnsi="宋体"/>
        </w:rPr>
        <w:t>4</w:t>
      </w:r>
      <w:r>
        <w:rPr>
          <w:rStyle w:val="14"/>
          <w:rFonts w:ascii="宋体" w:hAnsi="宋体"/>
        </w:rPr>
        <w:t xml:space="preserve"> </w:t>
      </w:r>
      <w:r>
        <w:rPr>
          <w:rStyle w:val="14"/>
          <w:rFonts w:hint="eastAsia" w:ascii="宋体" w:hAnsi="宋体"/>
        </w:rPr>
        <w:t>基本要求</w:t>
      </w:r>
      <w:r>
        <w:fldChar w:fldCharType="begin"/>
      </w:r>
      <w:r>
        <w:instrText xml:space="preserve"> HYPERLINK \l "_Toc7170182" </w:instrText>
      </w:r>
      <w:r>
        <w:fldChar w:fldCharType="separate"/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_Toc7170182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"_Toc7170183" </w:instrText>
      </w:r>
      <w:r>
        <w:fldChar w:fldCharType="separate"/>
      </w:r>
      <w:r>
        <w:rPr>
          <w:rFonts w:hAnsi="宋体"/>
        </w:rPr>
        <w:t>4</w:t>
      </w:r>
      <w:r>
        <w:rPr>
          <w:rStyle w:val="14"/>
          <w:rFonts w:ascii="宋体" w:hAnsi="宋体"/>
        </w:rPr>
        <w:t xml:space="preserve">.1 </w:t>
      </w:r>
      <w:r>
        <w:rPr>
          <w:rStyle w:val="14"/>
          <w:rFonts w:hint="eastAsia" w:ascii="宋体" w:hAnsi="宋体"/>
        </w:rPr>
        <w:t>需补充提供的材料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_Toc7170183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4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"_Toc7170184" </w:instrText>
      </w:r>
      <w:r>
        <w:fldChar w:fldCharType="separate"/>
      </w:r>
      <w:r>
        <w:rPr>
          <w:rFonts w:hAnsi="宋体"/>
        </w:rPr>
        <w:t xml:space="preserve">4.2 </w:t>
      </w:r>
      <w:r>
        <w:rPr>
          <w:rStyle w:val="14"/>
          <w:rFonts w:hint="eastAsia" w:ascii="宋体" w:hAnsi="宋体"/>
        </w:rPr>
        <w:t>样机确定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_Toc7170184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"_Toc7170185" </w:instrText>
      </w:r>
      <w:r>
        <w:fldChar w:fldCharType="separate"/>
      </w:r>
      <w:r>
        <w:rPr>
          <w:rFonts w:hAnsi="宋体"/>
        </w:rPr>
        <w:t xml:space="preserve">5 </w:t>
      </w:r>
      <w:r>
        <w:rPr>
          <w:rStyle w:val="14"/>
          <w:rFonts w:hint="eastAsia" w:ascii="宋体" w:hAnsi="宋体"/>
        </w:rPr>
        <w:t>鉴定内容和方法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_Toc7170185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"_Toc7170187" </w:instrText>
      </w:r>
      <w:r>
        <w:fldChar w:fldCharType="separate"/>
      </w:r>
      <w:r>
        <w:rPr>
          <w:rFonts w:hAnsi="宋体"/>
        </w:rPr>
        <w:t>5.1</w:t>
      </w:r>
      <w:r>
        <w:rPr>
          <w:rStyle w:val="14"/>
          <w:rFonts w:ascii="宋体" w:hAnsi="宋体"/>
        </w:rPr>
        <w:t xml:space="preserve"> </w:t>
      </w:r>
      <w:r>
        <w:rPr>
          <w:rStyle w:val="14"/>
          <w:rFonts w:hint="eastAsia" w:ascii="宋体" w:hAnsi="宋体"/>
          <w:bCs/>
        </w:rPr>
        <w:t>一致性检查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_Toc7170187 \h </w:instrText>
      </w:r>
      <w:r>
        <w:rPr>
          <w:rFonts w:hAnsi="宋体"/>
        </w:rPr>
        <w:fldChar w:fldCharType="separate"/>
      </w:r>
      <w:r>
        <w:rPr>
          <w:rFonts w:hAnsi="宋体"/>
        </w:rPr>
        <w:t>2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fldChar w:fldCharType="begin"/>
      </w:r>
      <w:r>
        <w:instrText xml:space="preserve"> HYPERLINK \l "_Toc7170188" </w:instrText>
      </w:r>
      <w:r>
        <w:fldChar w:fldCharType="separate"/>
      </w:r>
      <w:r>
        <w:rPr>
          <w:rFonts w:hAnsi="宋体" w:cs="宋体"/>
        </w:rPr>
        <w:t>5</w:t>
      </w:r>
      <w:r>
        <w:rPr>
          <w:rStyle w:val="14"/>
          <w:rFonts w:ascii="宋体" w:hAnsi="宋体" w:cs="宋体"/>
        </w:rPr>
        <w:t xml:space="preserve">.2 </w:t>
      </w:r>
      <w:r>
        <w:rPr>
          <w:rStyle w:val="14"/>
          <w:rFonts w:hint="eastAsia" w:ascii="宋体" w:hAnsi="宋体"/>
        </w:rPr>
        <w:t>创新性评价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_Toc7170188 \h </w:instrText>
      </w:r>
      <w:r>
        <w:rPr>
          <w:rFonts w:hAnsi="宋体"/>
        </w:rPr>
        <w:fldChar w:fldCharType="separate"/>
      </w:r>
      <w:r>
        <w:rPr>
          <w:rFonts w:hAnsi="宋体"/>
        </w:rPr>
        <w:t>3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0"/>
        <w:tabs>
          <w:tab w:val="right" w:leader="dot" w:pos="9345"/>
        </w:tabs>
        <w:rPr>
          <w:rStyle w:val="14"/>
          <w:rFonts w:ascii="宋体" w:hAnsi="宋体"/>
        </w:rPr>
      </w:pPr>
      <w:r>
        <w:fldChar w:fldCharType="begin"/>
      </w:r>
      <w:r>
        <w:instrText xml:space="preserve"> HYPERLINK \l "_Toc7170190" </w:instrText>
      </w:r>
      <w:r>
        <w:fldChar w:fldCharType="separate"/>
      </w:r>
      <w:r>
        <w:rPr>
          <w:rFonts w:hAnsi="宋体" w:cs="宋体"/>
        </w:rPr>
        <w:t>5.3</w:t>
      </w:r>
      <w:r>
        <w:rPr>
          <w:rStyle w:val="14"/>
          <w:rFonts w:ascii="宋体" w:hAnsi="宋体"/>
        </w:rPr>
        <w:t xml:space="preserve"> </w:t>
      </w:r>
      <w:r>
        <w:rPr>
          <w:rStyle w:val="14"/>
          <w:rFonts w:hint="eastAsia" w:ascii="宋体" w:hAnsi="宋体"/>
        </w:rPr>
        <w:t>安全性检查</w:t>
      </w:r>
      <w:r>
        <w:rPr>
          <w:rStyle w:val="19"/>
        </w:rPr>
        <w:tab/>
      </w:r>
      <w:r>
        <w:rPr>
          <w:rFonts w:hint="eastAsia" w:hAnsi="宋体"/>
        </w:rPr>
        <w:t>3</w:t>
      </w:r>
      <w:r>
        <w:rPr>
          <w:rFonts w:hint="eastAsia" w:hAnsi="宋体"/>
        </w:rPr>
        <w:fldChar w:fldCharType="end"/>
      </w:r>
      <w:r>
        <w:rPr>
          <w:rStyle w:val="14"/>
          <w:rFonts w:ascii="宋体" w:hAnsi="宋体"/>
        </w:rPr>
        <w:fldChar w:fldCharType="begin"/>
      </w:r>
      <w:r>
        <w:rPr>
          <w:rStyle w:val="14"/>
          <w:rFonts w:ascii="宋体" w:hAnsi="宋体"/>
        </w:rPr>
        <w:instrText xml:space="preserve"> </w:instrText>
      </w:r>
      <w:r>
        <w:rPr>
          <w:rFonts w:hAnsi="宋体"/>
        </w:rPr>
        <w:instrText xml:space="preserve">HYPERLINK \l "_Toc7170191"</w:instrText>
      </w:r>
      <w:r>
        <w:rPr>
          <w:rStyle w:val="14"/>
          <w:rFonts w:ascii="宋体" w:hAnsi="宋体"/>
        </w:rPr>
        <w:instrText xml:space="preserve"> </w:instrText>
      </w:r>
      <w:r>
        <w:rPr>
          <w:rStyle w:val="14"/>
          <w:rFonts w:ascii="宋体" w:hAnsi="宋体"/>
        </w:rPr>
        <w:fldChar w:fldCharType="separate"/>
      </w:r>
    </w:p>
    <w:p>
      <w:pPr>
        <w:pStyle w:val="10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hAnsi="宋体" w:cs="宋体"/>
        </w:rPr>
        <w:t>5.4</w:t>
      </w:r>
      <w:r>
        <w:rPr>
          <w:rStyle w:val="14"/>
          <w:rFonts w:hint="eastAsia" w:ascii="宋体" w:hAnsi="宋体"/>
        </w:rPr>
        <w:t>适用地区性能试验</w:t>
      </w:r>
      <w:r>
        <w:rPr>
          <w:rFonts w:hAnsi="宋体"/>
        </w:rPr>
        <w:tab/>
      </w:r>
      <w:r>
        <w:rPr>
          <w:rFonts w:hAnsi="宋体"/>
        </w:rPr>
        <w:t>3</w:t>
      </w:r>
      <w:r>
        <w:rPr>
          <w:rStyle w:val="14"/>
          <w:rFonts w:ascii="宋体" w:hAnsi="宋体"/>
        </w:rPr>
        <w:fldChar w:fldCharType="end"/>
      </w:r>
    </w:p>
    <w:p>
      <w:pPr>
        <w:pStyle w:val="6"/>
        <w:tabs>
          <w:tab w:val="right" w:leader="dot" w:pos="9345"/>
        </w:tabs>
        <w:rPr>
          <w:rFonts w:hAnsi="宋体"/>
        </w:rPr>
      </w:pPr>
      <w:r>
        <w:rPr>
          <w:rFonts w:hAnsi="宋体"/>
        </w:rPr>
        <w:t>5.5</w:t>
      </w:r>
      <w:r>
        <w:rPr>
          <w:rStyle w:val="14"/>
          <w:rFonts w:hint="eastAsia" w:ascii="宋体" w:hAnsi="宋体"/>
        </w:rPr>
        <w:t>综合判定规则</w:t>
      </w:r>
      <w:r>
        <w:fldChar w:fldCharType="begin"/>
      </w:r>
      <w:r>
        <w:instrText xml:space="preserve"> HYPERLINK \l "_Toc7170192" </w:instrText>
      </w:r>
      <w:r>
        <w:fldChar w:fldCharType="separate"/>
      </w:r>
      <w:r>
        <w:rPr>
          <w:rFonts w:hAnsi="宋体"/>
        </w:rPr>
        <w:tab/>
      </w:r>
      <w:r>
        <w:rPr>
          <w:rFonts w:hAnsi="宋体"/>
        </w:rPr>
        <w:t>5</w:t>
      </w:r>
      <w:r>
        <w:rPr>
          <w:rFonts w:hAnsi="宋体"/>
        </w:rPr>
        <w:fldChar w:fldCharType="end"/>
      </w:r>
    </w:p>
    <w:p>
      <w:pPr>
        <w:pStyle w:val="20"/>
        <w:ind w:right="-105" w:rightChars="-50"/>
        <w:rPr>
          <w:rFonts w:hAnsi="宋体" w:cs="宋体"/>
          <w:color w:val="000000" w:themeColor="text1"/>
        </w:rPr>
      </w:pPr>
      <w:r>
        <w:rPr>
          <w:rStyle w:val="14"/>
          <w:rFonts w:hint="eastAsia" w:ascii="宋体" w:hAnsi="宋体" w:cs="宋体"/>
          <w:color w:val="000000" w:themeColor="text1"/>
        </w:rPr>
        <w:t>附录A</w:t>
      </w:r>
      <w:r>
        <w:rPr>
          <w:rStyle w:val="14"/>
          <w:rFonts w:hint="eastAsia" w:hAnsi="宋体" w:cs="宋体"/>
          <w:color w:val="000000" w:themeColor="text1"/>
        </w:rPr>
        <w:t xml:space="preserve"> </w:t>
      </w:r>
      <w:r>
        <w:rPr>
          <w:rStyle w:val="14"/>
          <w:rFonts w:hint="eastAsia" w:ascii="宋体" w:hAnsi="宋体" w:cs="宋体"/>
          <w:color w:val="000000" w:themeColor="text1"/>
        </w:rPr>
        <w:t>（规范性附录）产品规格表</w:t>
      </w:r>
      <w:r>
        <w:rPr>
          <w:rStyle w:val="14"/>
          <w:rFonts w:hint="eastAsia" w:hAnsi="宋体" w:cs="宋体"/>
          <w:color w:val="000000" w:themeColor="text1"/>
          <w:spacing w:val="34"/>
        </w:rPr>
        <w:t>..</w:t>
      </w:r>
      <w:r>
        <w:rPr>
          <w:rStyle w:val="14"/>
          <w:rFonts w:hint="eastAsia" w:hAnsi="宋体" w:cs="宋体"/>
          <w:color w:val="000000" w:themeColor="text1"/>
        </w:rPr>
        <w:t>..................................................................................................................</w:t>
      </w:r>
      <w:r>
        <w:rPr>
          <w:rStyle w:val="14"/>
          <w:rFonts w:hint="eastAsia" w:ascii="宋体" w:hAnsi="宋体" w:cs="宋体"/>
          <w:color w:val="000000" w:themeColor="text1"/>
        </w:rPr>
        <w:t>7</w:t>
      </w:r>
    </w:p>
    <w:p>
      <w:pPr>
        <w:pStyle w:val="20"/>
        <w:rPr>
          <w:color w:val="FF0000"/>
        </w:rPr>
        <w:sectPr>
          <w:headerReference r:id="rId8" w:type="default"/>
          <w:footerReference r:id="rId9" w:type="default"/>
          <w:pgSz w:w="11907" w:h="16839"/>
          <w:pgMar w:top="1418" w:right="1134" w:bottom="1134" w:left="1418" w:header="1021" w:footer="1021" w:gutter="0"/>
          <w:pgNumType w:fmt="upperRoman" w:start="1"/>
          <w:cols w:space="720" w:num="1"/>
          <w:docGrid w:type="linesAndChars" w:linePitch="312" w:charSpace="0"/>
        </w:sectPr>
      </w:pPr>
      <w:r>
        <w:rPr>
          <w:rFonts w:cs="宋体"/>
          <w:color w:val="FF0000"/>
        </w:rPr>
        <w:fldChar w:fldCharType="end"/>
      </w:r>
    </w:p>
    <w:bookmarkEnd w:id="2"/>
    <w:p>
      <w:pPr>
        <w:pStyle w:val="17"/>
      </w:pPr>
      <w:bookmarkStart w:id="3" w:name="_Toc7170178"/>
      <w:bookmarkStart w:id="4" w:name="_Toc400633492"/>
      <w:r>
        <w:rPr>
          <w:rFonts w:hint="eastAsia" w:hAnsi="黑体" w:eastAsia="黑体" w:cs="黑体"/>
        </w:rPr>
        <w:t>前</w:t>
      </w:r>
      <w:r>
        <w:rPr>
          <w:rFonts w:hAnsi="黑体" w:eastAsia="黑体" w:cs="黑体"/>
        </w:rPr>
        <w:t xml:space="preserve">    </w:t>
      </w:r>
      <w:r>
        <w:rPr>
          <w:rFonts w:hint="eastAsia" w:hAnsi="黑体" w:eastAsia="黑体" w:cs="黑体"/>
        </w:rPr>
        <w:t>言</w:t>
      </w:r>
      <w:bookmarkEnd w:id="3"/>
      <w:bookmarkEnd w:id="4"/>
    </w:p>
    <w:p>
      <w:pPr>
        <w:pStyle w:val="18"/>
        <w:tabs>
          <w:tab w:val="center" w:pos="4201"/>
          <w:tab w:val="right" w:leader="dot" w:pos="9298"/>
        </w:tabs>
        <w:ind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</w:rPr>
        <w:t xml:space="preserve">本大纲依据 </w:t>
      </w:r>
      <w:r>
        <w:rPr>
          <w:color w:val="000000" w:themeColor="text1"/>
          <w:szCs w:val="21"/>
        </w:rPr>
        <w:t>TZ 6—20</w:t>
      </w:r>
      <w:r>
        <w:rPr>
          <w:rFonts w:hint="eastAsia"/>
          <w:color w:val="000000" w:themeColor="text1"/>
          <w:szCs w:val="21"/>
        </w:rPr>
        <w:t>21《农业机械专项鉴定大纲编写规则》编制。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本大纲是对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DG22/Z 001—2020</w:t>
      </w:r>
      <w:r>
        <w:rPr>
          <w:rFonts w:hint="eastAsia"/>
          <w:color w:val="000000" w:themeColor="text1"/>
          <w:szCs w:val="21"/>
        </w:rPr>
        <w:t>《条（带）耕作整地机》及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DG23/Z 005—2020</w:t>
      </w:r>
      <w:r>
        <w:rPr>
          <w:rFonts w:hint="eastAsia"/>
          <w:color w:val="000000" w:themeColor="text1"/>
          <w:szCs w:val="21"/>
        </w:rPr>
        <w:t>《深松条耕机》的修订。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本大纲与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DG22/Z 001—2020及DG23/Z 005—2020</w:t>
      </w:r>
      <w:r>
        <w:rPr>
          <w:rFonts w:hint="eastAsia"/>
          <w:color w:val="000000" w:themeColor="text1"/>
          <w:szCs w:val="21"/>
        </w:rPr>
        <w:t>相比，除编辑性修改外，主要技术内容变化如下：</w:t>
      </w:r>
    </w:p>
    <w:p>
      <w:pPr>
        <w:pStyle w:val="45"/>
        <w:ind w:left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修改了术语和定义内容；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45"/>
        <w:ind w:firstLine="420" w:firstLineChars="20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修改补充了样机确定内容；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45"/>
        <w:ind w:firstLine="420" w:firstLineChars="20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修改了一致性检查内容；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45"/>
        <w:ind w:firstLine="420" w:firstLineChars="20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修改补充了安全性检查内容；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45"/>
        <w:ind w:firstLine="420" w:firstLineChars="20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修改了综合判定规则内容；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45"/>
        <w:ind w:left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修改了附录</w:t>
      </w:r>
      <w:r>
        <w:rPr>
          <w:color w:val="000000" w:themeColor="text1"/>
          <w:sz w:val="21"/>
          <w:szCs w:val="21"/>
        </w:rPr>
        <w:t>A</w:t>
      </w:r>
      <w:r>
        <w:rPr>
          <w:rFonts w:hint="eastAsia"/>
          <w:color w:val="000000" w:themeColor="text1"/>
          <w:sz w:val="21"/>
          <w:szCs w:val="21"/>
        </w:rPr>
        <w:t>内容。</w:t>
      </w:r>
      <w:r>
        <w:rPr>
          <w:color w:val="000000" w:themeColor="text1"/>
          <w:sz w:val="21"/>
          <w:szCs w:val="21"/>
        </w:rPr>
        <w:t xml:space="preserve"> 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本规则自实施之日起代替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DG22/Z 001—2020及DG23/Z 005—2020</w:t>
      </w:r>
      <w:r>
        <w:rPr>
          <w:rFonts w:hint="eastAsia"/>
          <w:color w:val="000000" w:themeColor="text1"/>
          <w:szCs w:val="21"/>
        </w:rPr>
        <w:t>。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本大纲由吉林省农业农村厅提出。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本大纲由吉林省农业机械试验鉴定站技术归口。</w:t>
      </w:r>
    </w:p>
    <w:p>
      <w:pPr>
        <w:pStyle w:val="2"/>
        <w:spacing w:after="0"/>
        <w:ind w:left="0" w:leftChars="0" w:firstLine="424" w:firstLineChars="202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本大纲起草单位：吉林省农业机械试验鉴定站，黑龙江省农业机械试验鉴定站</w:t>
      </w:r>
      <w:r>
        <w:rPr>
          <w:rFonts w:hint="eastAsia" w:ascii="宋体" w:cs="宋体"/>
          <w:color w:val="000000" w:themeColor="text1"/>
          <w:kern w:val="0"/>
          <w:szCs w:val="21"/>
        </w:rPr>
        <w:t>。</w:t>
      </w:r>
    </w:p>
    <w:p>
      <w:pPr>
        <w:pStyle w:val="18"/>
        <w:ind w:firstLine="424" w:firstLineChars="202"/>
        <w:rPr>
          <w:rFonts w:ascii="Times New Roman"/>
          <w:color w:val="000000" w:themeColor="text1"/>
          <w:kern w:val="2"/>
          <w:szCs w:val="21"/>
        </w:rPr>
      </w:pPr>
      <w:r>
        <w:rPr>
          <w:rFonts w:hint="eastAsia"/>
          <w:color w:val="000000" w:themeColor="text1"/>
          <w:szCs w:val="21"/>
        </w:rPr>
        <w:t>本大纲主要起草人：周晗宇</w:t>
      </w:r>
      <w:r>
        <w:rPr>
          <w:rFonts w:hint="eastAsia" w:ascii="Times New Roman"/>
          <w:color w:val="000000" w:themeColor="text1"/>
          <w:kern w:val="2"/>
          <w:szCs w:val="21"/>
        </w:rPr>
        <w:t>、范东方、许文涛、李东来、张继佳、叶欣。</w:t>
      </w:r>
    </w:p>
    <w:p>
      <w:pPr>
        <w:pStyle w:val="18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本大纲所代替大纲的历次版本发布情况为：</w:t>
      </w:r>
      <w:r>
        <w:rPr>
          <w:color w:val="000000" w:themeColor="text1"/>
          <w:szCs w:val="21"/>
        </w:rPr>
        <w:t xml:space="preserve"> </w:t>
      </w:r>
    </w:p>
    <w:p>
      <w:pPr>
        <w:pStyle w:val="18"/>
        <w:ind w:firstLine="420"/>
        <w:rPr>
          <w:rFonts w:ascii="Times New Roman"/>
          <w:color w:val="000000" w:themeColor="text1"/>
          <w:kern w:val="2"/>
          <w:szCs w:val="21"/>
        </w:rPr>
      </w:pPr>
      <w:r>
        <w:rPr>
          <w:rFonts w:ascii="Times New Roman"/>
          <w:color w:val="000000" w:themeColor="text1"/>
          <w:kern w:val="2"/>
          <w:szCs w:val="21"/>
        </w:rPr>
        <w:t>——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DG22/Z 001—2020</w:t>
      </w:r>
      <w:r>
        <w:rPr>
          <w:rFonts w:hint="eastAsia" w:ascii="Times New Roman"/>
          <w:color w:val="000000" w:themeColor="text1"/>
          <w:kern w:val="2"/>
          <w:szCs w:val="21"/>
        </w:rPr>
        <w:t>；</w:t>
      </w:r>
    </w:p>
    <w:p>
      <w:pPr>
        <w:pStyle w:val="18"/>
        <w:ind w:firstLine="0" w:firstLineChars="0"/>
        <w:rPr>
          <w:color w:val="000000" w:themeColor="text1"/>
        </w:rPr>
        <w:sectPr>
          <w:footerReference r:id="rId10" w:type="default"/>
          <w:pgSz w:w="11907" w:h="16839"/>
          <w:pgMar w:top="1418" w:right="1134" w:bottom="1134" w:left="1418" w:header="1021" w:footer="1021" w:gutter="0"/>
          <w:pgNumType w:fmt="upperRoman"/>
          <w:cols w:space="720" w:num="1"/>
          <w:docGrid w:type="linesAndChars" w:linePitch="312" w:charSpace="0"/>
        </w:sectPr>
      </w:pPr>
      <w:r>
        <w:rPr>
          <w:rFonts w:hint="eastAsia" w:ascii="Times New Roman"/>
          <w:color w:val="000000" w:themeColor="text1"/>
          <w:kern w:val="2"/>
          <w:szCs w:val="21"/>
        </w:rPr>
        <w:t xml:space="preserve">    </w:t>
      </w:r>
      <w:r>
        <w:rPr>
          <w:rFonts w:ascii="Times New Roman"/>
          <w:color w:val="000000" w:themeColor="text1"/>
          <w:kern w:val="2"/>
          <w:szCs w:val="21"/>
        </w:rPr>
        <w:t>——</w:t>
      </w:r>
      <w:r>
        <w:rPr>
          <w:rFonts w:hint="eastAsia" w:ascii="微软雅黑" w:hAnsi="微软雅黑" w:eastAsia="微软雅黑" w:cs="Tahoma"/>
          <w:color w:val="000000" w:themeColor="text1"/>
          <w:sz w:val="18"/>
          <w:szCs w:val="18"/>
        </w:rPr>
        <w:t>DG23/Z 005—2020。</w:t>
      </w:r>
    </w:p>
    <w:p>
      <w:pPr>
        <w:pStyle w:val="18"/>
        <w:ind w:firstLine="424" w:firstLineChars="202"/>
        <w:rPr>
          <w:color w:val="000000"/>
          <w:szCs w:val="21"/>
        </w:rPr>
      </w:pPr>
    </w:p>
    <w:p>
      <w:pPr>
        <w:pStyle w:val="16"/>
        <w:bidi/>
        <w:rPr>
          <w:rFonts w:cs="黑体"/>
          <w:szCs w:val="32"/>
        </w:rPr>
      </w:pPr>
      <w:bookmarkStart w:id="5" w:name="_Toc400633494"/>
      <w:bookmarkStart w:id="6" w:name="_Toc90105574"/>
      <w:bookmarkStart w:id="7" w:name="SectionMark4"/>
      <w:r>
        <w:rPr>
          <w:rFonts w:hint="eastAsia" w:hAnsi="黑体" w:eastAsia="黑体" w:cs="黑体"/>
          <w:szCs w:val="32"/>
        </w:rPr>
        <w:t>条（带）耕作整地机</w:t>
      </w:r>
    </w:p>
    <w:p>
      <w:pPr>
        <w:pStyle w:val="21"/>
        <w:spacing w:beforeLines="0" w:afterLines="0"/>
        <w:rPr>
          <w:rFonts w:hAnsi="黑体" w:eastAsia="黑体" w:cs="黑体"/>
          <w:szCs w:val="21"/>
        </w:rPr>
      </w:pPr>
      <w:bookmarkStart w:id="8" w:name="_Toc7170179"/>
      <w:r>
        <w:rPr>
          <w:rFonts w:hint="eastAsia" w:hAnsi="黑体" w:eastAsia="黑体" w:cs="黑体"/>
          <w:szCs w:val="21"/>
        </w:rPr>
        <w:t>范围</w:t>
      </w:r>
      <w:bookmarkEnd w:id="5"/>
      <w:bookmarkEnd w:id="6"/>
      <w:bookmarkEnd w:id="8"/>
    </w:p>
    <w:p>
      <w:pPr>
        <w:pStyle w:val="18"/>
        <w:ind w:firstLine="420"/>
      </w:pPr>
      <w:r>
        <w:rPr>
          <w:rFonts w:hint="eastAsia"/>
        </w:rPr>
        <w:t>本大纲规定了条（带）耕作整地机专项鉴定的内容、方法和判定规则。</w:t>
      </w:r>
    </w:p>
    <w:p>
      <w:pPr>
        <w:pStyle w:val="18"/>
        <w:ind w:firstLine="420"/>
        <w:rPr>
          <w:b/>
        </w:rPr>
      </w:pPr>
      <w:r>
        <w:rPr>
          <w:rFonts w:hint="eastAsia"/>
        </w:rPr>
        <w:t>本大纲适用于条（带）耕作整地机的专项鉴定。</w:t>
      </w:r>
    </w:p>
    <w:p>
      <w:pPr>
        <w:pStyle w:val="21"/>
        <w:spacing w:beforeLines="0" w:afterLines="0"/>
        <w:rPr>
          <w:rFonts w:hAnsi="黑体" w:eastAsia="黑体" w:cs="黑体"/>
          <w:szCs w:val="21"/>
        </w:rPr>
      </w:pPr>
      <w:bookmarkStart w:id="9" w:name="_Toc90105575"/>
      <w:bookmarkStart w:id="10" w:name="_Toc7170180"/>
      <w:bookmarkStart w:id="11" w:name="_Toc400633495"/>
      <w:r>
        <w:rPr>
          <w:rFonts w:hint="eastAsia" w:hAnsi="黑体" w:eastAsia="黑体" w:cs="黑体"/>
          <w:szCs w:val="21"/>
        </w:rPr>
        <w:t>规范性引用文</w:t>
      </w:r>
      <w:bookmarkEnd w:id="9"/>
      <w:bookmarkEnd w:id="10"/>
      <w:bookmarkEnd w:id="11"/>
      <w:r>
        <w:rPr>
          <w:rFonts w:hint="eastAsia" w:hAnsi="黑体" w:eastAsia="黑体" w:cs="黑体"/>
          <w:szCs w:val="21"/>
        </w:rPr>
        <w:t>件</w:t>
      </w:r>
    </w:p>
    <w:p>
      <w:pPr>
        <w:pStyle w:val="18"/>
        <w:ind w:firstLine="420"/>
        <w:rPr>
          <w:szCs w:val="22"/>
        </w:rPr>
      </w:pPr>
      <w:r>
        <w:rPr>
          <w:rFonts w:hint="eastAsia"/>
          <w:szCs w:val="22"/>
        </w:rPr>
        <w:t>下列文件的应用是必不可少的。凡是注日期的引用文件，仅注日期的版本适用于本文件。凡是不注日期的引用文件，其最新版本（包括所有的修改单）适用于本文件。</w:t>
      </w:r>
    </w:p>
    <w:p>
      <w:pPr>
        <w:pStyle w:val="18"/>
        <w:ind w:firstLine="420"/>
        <w:rPr>
          <w:szCs w:val="22"/>
        </w:rPr>
      </w:pPr>
      <w:r>
        <w:rPr>
          <w:szCs w:val="22"/>
        </w:rPr>
        <w:t xml:space="preserve">GB 10396  </w:t>
      </w:r>
      <w:r>
        <w:rPr>
          <w:rFonts w:hint="eastAsia"/>
          <w:szCs w:val="22"/>
        </w:rPr>
        <w:t>农林拖拉机和机械、草坪和园艺动力机械</w:t>
      </w:r>
      <w:r>
        <w:rPr>
          <w:szCs w:val="22"/>
        </w:rPr>
        <w:t xml:space="preserve">  </w:t>
      </w:r>
      <w:r>
        <w:rPr>
          <w:rFonts w:hint="eastAsia"/>
          <w:szCs w:val="22"/>
        </w:rPr>
        <w:t>安全标志和危险图形</w:t>
      </w:r>
      <w:bookmarkStart w:id="12" w:name="_Toc90187238"/>
      <w:bookmarkEnd w:id="12"/>
      <w:r>
        <w:rPr>
          <w:szCs w:val="22"/>
        </w:rPr>
        <w:t xml:space="preserve">  </w:t>
      </w:r>
      <w:r>
        <w:rPr>
          <w:rFonts w:hint="eastAsia"/>
          <w:szCs w:val="22"/>
        </w:rPr>
        <w:t>总则</w:t>
      </w:r>
    </w:p>
    <w:p>
      <w:pPr>
        <w:pStyle w:val="21"/>
        <w:spacing w:beforeLines="0" w:afterLines="0"/>
        <w:rPr>
          <w:rFonts w:hAnsi="黑体" w:eastAsia="黑体" w:cs="黑体"/>
          <w:szCs w:val="21"/>
        </w:rPr>
      </w:pPr>
      <w:bookmarkStart w:id="13" w:name="_Toc7170181"/>
      <w:r>
        <w:rPr>
          <w:rFonts w:hint="eastAsia" w:hAnsi="黑体" w:eastAsia="黑体" w:cs="黑体"/>
          <w:szCs w:val="21"/>
        </w:rPr>
        <w:t>术语和定义</w:t>
      </w:r>
    </w:p>
    <w:p>
      <w:pPr>
        <w:pStyle w:val="22"/>
        <w:spacing w:line="360" w:lineRule="auto"/>
        <w:ind w:left="479" w:hanging="478" w:hangingChars="228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3.1条（带）耕作整地机</w:t>
      </w:r>
    </w:p>
    <w:p>
      <w:pPr>
        <w:pStyle w:val="18"/>
        <w:ind w:firstLine="420"/>
        <w:rPr>
          <w:rFonts w:hAnsi="宋体" w:cs="宋体"/>
          <w:szCs w:val="22"/>
        </w:rPr>
      </w:pPr>
      <w:r>
        <w:rPr>
          <w:rFonts w:hint="eastAsia" w:hAnsi="宋体" w:cs="宋体"/>
          <w:szCs w:val="22"/>
        </w:rPr>
        <w:t>在秸秆覆盖的未耕地上进行种床条（带）破茬、清垄及镇压，或在种床上旋耕、镇压，也可配置深松部件的</w:t>
      </w:r>
      <w:r>
        <w:rPr>
          <w:rFonts w:hint="eastAsia"/>
        </w:rPr>
        <w:t>耕作</w:t>
      </w:r>
      <w:r>
        <w:rPr>
          <w:rFonts w:hint="eastAsia" w:hAnsi="宋体" w:cs="宋体"/>
          <w:szCs w:val="22"/>
        </w:rPr>
        <w:t>机具。</w:t>
      </w:r>
    </w:p>
    <w:p>
      <w:pPr>
        <w:pStyle w:val="22"/>
        <w:spacing w:line="360" w:lineRule="auto"/>
        <w:ind w:left="479" w:hanging="478" w:hangingChars="228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3.2动土率</w:t>
      </w:r>
    </w:p>
    <w:p>
      <w:pPr>
        <w:pStyle w:val="18"/>
        <w:spacing w:line="360" w:lineRule="auto"/>
        <w:ind w:firstLine="420"/>
      </w:pPr>
      <w:r>
        <w:rPr>
          <w:rFonts w:hint="eastAsia"/>
        </w:rPr>
        <w:t>机具耕作部件扰动土壤横向总宽度占工作幅宽的百分比。</w:t>
      </w:r>
    </w:p>
    <w:p>
      <w:pPr>
        <w:pStyle w:val="22"/>
        <w:spacing w:line="360" w:lineRule="auto"/>
        <w:ind w:left="479" w:hanging="478" w:hangingChars="228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3.3单条（带）耕作宽度</w:t>
      </w:r>
    </w:p>
    <w:p>
      <w:pPr>
        <w:pStyle w:val="18"/>
        <w:spacing w:line="360" w:lineRule="auto"/>
        <w:ind w:firstLine="420"/>
        <w:rPr>
          <w:rFonts w:hAnsi="宋体" w:cs="宋体"/>
          <w:szCs w:val="22"/>
        </w:rPr>
      </w:pPr>
      <w:r>
        <w:rPr>
          <w:rFonts w:hint="eastAsia" w:hAnsi="宋体" w:cs="宋体"/>
          <w:szCs w:val="22"/>
        </w:rPr>
        <w:t>单组耕作部件在种床条（带）进行作业</w:t>
      </w:r>
      <w:r>
        <w:rPr>
          <w:rFonts w:hint="eastAsia"/>
        </w:rPr>
        <w:t>扰动土壤</w:t>
      </w:r>
      <w:r>
        <w:rPr>
          <w:rFonts w:hint="eastAsia" w:hAnsi="宋体" w:cs="宋体"/>
          <w:szCs w:val="22"/>
        </w:rPr>
        <w:t>的宽度。</w:t>
      </w:r>
    </w:p>
    <w:p>
      <w:pPr>
        <w:pStyle w:val="18"/>
        <w:spacing w:line="360" w:lineRule="auto"/>
        <w:ind w:firstLine="0" w:firstLineChars="0"/>
        <w:rPr>
          <w:rFonts w:ascii="黑体" w:hAnsi="黑体" w:eastAsia="黑体" w:cs="黑体"/>
          <w:szCs w:val="22"/>
        </w:rPr>
      </w:pPr>
      <w:r>
        <w:rPr>
          <w:rFonts w:ascii="黑体" w:hAnsi="黑体" w:eastAsia="黑体" w:cs="黑体"/>
          <w:szCs w:val="22"/>
        </w:rPr>
        <w:t>3.4</w:t>
      </w:r>
      <w:r>
        <w:rPr>
          <w:rFonts w:hAnsi="宋体" w:cs="宋体"/>
          <w:szCs w:val="22"/>
        </w:rPr>
        <w:t xml:space="preserve"> </w:t>
      </w:r>
      <w:r>
        <w:rPr>
          <w:rFonts w:hint="eastAsia" w:ascii="黑体" w:hAnsi="黑体" w:eastAsia="黑体" w:cs="黑体"/>
          <w:szCs w:val="22"/>
        </w:rPr>
        <w:t>秸秆清除率</w:t>
      </w:r>
    </w:p>
    <w:p>
      <w:pPr>
        <w:pStyle w:val="18"/>
        <w:spacing w:line="360" w:lineRule="auto"/>
        <w:ind w:firstLine="0" w:firstLineChars="0"/>
      </w:pPr>
      <w:r>
        <w:rPr>
          <w:rFonts w:ascii="黑体" w:hAnsi="黑体" w:eastAsia="黑体" w:cs="黑体"/>
          <w:szCs w:val="22"/>
        </w:rPr>
        <w:t xml:space="preserve">    </w:t>
      </w:r>
      <w:r>
        <w:rPr>
          <w:rFonts w:hint="eastAsia"/>
        </w:rPr>
        <w:t>耕作宽度内清除的地表秸秆及杂草质量占原质量的百分比。</w:t>
      </w:r>
    </w:p>
    <w:p>
      <w:pPr>
        <w:pStyle w:val="21"/>
        <w:spacing w:beforeLines="0" w:afterLines="0"/>
        <w:rPr>
          <w:rFonts w:hAnsi="黑体" w:eastAsia="黑体" w:cs="黑体"/>
          <w:szCs w:val="21"/>
        </w:rPr>
      </w:pPr>
      <w:r>
        <w:rPr>
          <w:rFonts w:hint="eastAsia" w:hAnsi="黑体" w:eastAsia="黑体" w:cs="黑体"/>
          <w:szCs w:val="21"/>
        </w:rPr>
        <w:t>基本要求</w:t>
      </w:r>
      <w:bookmarkEnd w:id="13"/>
    </w:p>
    <w:p>
      <w:pPr>
        <w:pStyle w:val="22"/>
        <w:spacing w:afterLines="50"/>
        <w:ind w:left="0"/>
        <w:rPr>
          <w:rFonts w:ascii="黑体" w:hAnsi="黑体" w:eastAsia="黑体" w:cs="黑体"/>
        </w:rPr>
      </w:pPr>
      <w:bookmarkStart w:id="14" w:name="_Toc7170182"/>
      <w:bookmarkStart w:id="15" w:name="_Toc89754259"/>
      <w:bookmarkStart w:id="16" w:name="_Toc89754554"/>
      <w:bookmarkStart w:id="17" w:name="_Toc465692078"/>
      <w:bookmarkStart w:id="18" w:name="_Toc400633508"/>
      <w:r>
        <w:rPr>
          <w:rFonts w:hint="eastAsia" w:ascii="黑体" w:hAnsi="黑体" w:eastAsia="黑体" w:cs="黑体"/>
        </w:rPr>
        <w:t>4.1需补充提供的材料</w:t>
      </w:r>
      <w:bookmarkEnd w:id="14"/>
      <w:bookmarkEnd w:id="15"/>
      <w:bookmarkEnd w:id="16"/>
      <w:bookmarkEnd w:id="17"/>
    </w:p>
    <w:p>
      <w:pPr>
        <w:pStyle w:val="18"/>
        <w:ind w:firstLine="420"/>
      </w:pPr>
      <w:bookmarkStart w:id="19" w:name="_Toc325987138"/>
      <w:bookmarkStart w:id="20" w:name="_Toc445248513"/>
      <w:bookmarkStart w:id="21" w:name="_Toc445324329"/>
      <w:r>
        <w:rPr>
          <w:rFonts w:hint="eastAsia"/>
        </w:rPr>
        <w:t>除申请时提交的材料之外，申请方需补充提供以下材料（材料需加盖制造商公章）：</w:t>
      </w:r>
    </w:p>
    <w:p>
      <w:pPr>
        <w:pStyle w:val="18"/>
        <w:numPr>
          <w:ilvl w:val="0"/>
          <w:numId w:val="5"/>
        </w:numPr>
        <w:ind w:firstLineChars="0"/>
      </w:pPr>
      <w:r>
        <w:rPr>
          <w:rFonts w:hint="eastAsia"/>
        </w:rPr>
        <w:t>产品规格表（见附录</w:t>
      </w:r>
      <w:r>
        <w:t>A</w:t>
      </w:r>
      <w:r>
        <w:rPr>
          <w:rFonts w:hint="eastAsia"/>
        </w:rPr>
        <w:t>）；</w:t>
      </w:r>
    </w:p>
    <w:p>
      <w:pPr>
        <w:pStyle w:val="18"/>
        <w:numPr>
          <w:ilvl w:val="0"/>
          <w:numId w:val="5"/>
        </w:numPr>
        <w:ind w:firstLineChars="0"/>
      </w:pPr>
      <w:r>
        <w:rPr>
          <w:rFonts w:hint="eastAsia" w:hAnsi="宋体" w:cs="宋体"/>
          <w:bCs/>
          <w:szCs w:val="21"/>
        </w:rPr>
        <w:t>样机彩色照片（左前方</w:t>
      </w:r>
      <w:r>
        <w:rPr>
          <w:rFonts w:hAnsi="宋体" w:cs="宋体"/>
          <w:bCs/>
          <w:szCs w:val="21"/>
        </w:rPr>
        <w:t>45</w:t>
      </w:r>
      <w:r>
        <w:rPr>
          <w:rFonts w:hint="eastAsia" w:hAnsi="宋体" w:cs="宋体"/>
          <w:bCs/>
          <w:szCs w:val="21"/>
        </w:rPr>
        <w:t>°、右前方</w:t>
      </w:r>
      <w:r>
        <w:rPr>
          <w:rFonts w:hAnsi="宋体" w:cs="宋体"/>
          <w:bCs/>
          <w:szCs w:val="21"/>
        </w:rPr>
        <w:t>45</w:t>
      </w:r>
      <w:r>
        <w:rPr>
          <w:rFonts w:hint="eastAsia" w:hAnsi="宋体" w:cs="宋体"/>
          <w:bCs/>
          <w:szCs w:val="21"/>
        </w:rPr>
        <w:t>°、正后方、产品铭牌各</w:t>
      </w:r>
      <w:r>
        <w:rPr>
          <w:rFonts w:hAnsi="宋体" w:cs="宋体"/>
          <w:bCs/>
          <w:szCs w:val="21"/>
        </w:rPr>
        <w:t>1</w:t>
      </w:r>
      <w:r>
        <w:rPr>
          <w:rFonts w:hint="eastAsia" w:hAnsi="宋体" w:cs="宋体"/>
          <w:bCs/>
          <w:szCs w:val="21"/>
        </w:rPr>
        <w:t>张）</w:t>
      </w:r>
      <w:r>
        <w:rPr>
          <w:rFonts w:hint="eastAsia"/>
        </w:rPr>
        <w:t>；</w:t>
      </w:r>
    </w:p>
    <w:p>
      <w:pPr>
        <w:pStyle w:val="18"/>
        <w:numPr>
          <w:ilvl w:val="0"/>
          <w:numId w:val="5"/>
        </w:numPr>
        <w:ind w:firstLineChars="0"/>
      </w:pPr>
      <w:r>
        <w:rPr>
          <w:rFonts w:hint="eastAsia"/>
        </w:rPr>
        <w:t>具有资质的检验检测机构出具的符合大纲要求的检验报告（如有）；</w:t>
      </w:r>
    </w:p>
    <w:p>
      <w:pPr>
        <w:pStyle w:val="18"/>
        <w:numPr>
          <w:ilvl w:val="0"/>
          <w:numId w:val="5"/>
        </w:numPr>
        <w:ind w:firstLineChars="0"/>
      </w:pPr>
      <w:r>
        <w:rPr>
          <w:rFonts w:hint="eastAsia"/>
        </w:rPr>
        <w:t>创新性证明材料（可包括整机或部件的发明专利、实用新型专利、科技成果评价证书、科技成果查新报告等）；</w:t>
      </w:r>
    </w:p>
    <w:p>
      <w:pPr>
        <w:pStyle w:val="18"/>
        <w:numPr>
          <w:ilvl w:val="0"/>
          <w:numId w:val="5"/>
        </w:numPr>
        <w:ind w:firstLineChars="0"/>
        <w:rPr>
          <w:color w:val="0000FF"/>
        </w:rPr>
      </w:pPr>
      <w:r>
        <w:rPr>
          <w:rFonts w:hint="eastAsia"/>
        </w:rPr>
        <w:t>符合大纲要求的实地验证报告（如有）。</w:t>
      </w:r>
    </w:p>
    <w:bookmarkEnd w:id="7"/>
    <w:bookmarkEnd w:id="18"/>
    <w:bookmarkEnd w:id="19"/>
    <w:bookmarkEnd w:id="20"/>
    <w:bookmarkEnd w:id="21"/>
    <w:p>
      <w:pPr>
        <w:pStyle w:val="22"/>
        <w:spacing w:beforeLines="50" w:afterLines="50"/>
        <w:ind w:left="0"/>
        <w:rPr>
          <w:rFonts w:ascii="黑体" w:hAnsi="黑体" w:eastAsia="黑体" w:cs="黑体"/>
        </w:rPr>
      </w:pPr>
      <w:bookmarkStart w:id="22" w:name="_Toc7170183"/>
      <w:bookmarkStart w:id="23" w:name="_Toc400633522"/>
      <w:r>
        <w:rPr>
          <w:rFonts w:hint="eastAsia" w:ascii="黑体" w:hAnsi="黑体" w:eastAsia="黑体" w:cs="黑体"/>
        </w:rPr>
        <w:t>4.2样机确定</w:t>
      </w:r>
      <w:bookmarkEnd w:id="22"/>
      <w:bookmarkEnd w:id="23"/>
    </w:p>
    <w:p>
      <w:pPr>
        <w:pStyle w:val="18"/>
        <w:ind w:firstLine="420"/>
        <w:rPr>
          <w:szCs w:val="21"/>
        </w:rPr>
      </w:pPr>
      <w:r>
        <w:rPr>
          <w:rFonts w:hint="eastAsia"/>
        </w:rPr>
        <w:t>样机由制造商无偿提供，且应是</w:t>
      </w:r>
      <w:r>
        <w:t>12</w:t>
      </w:r>
      <w:r>
        <w:rPr>
          <w:rFonts w:hint="eastAsia"/>
        </w:rPr>
        <w:t>个月以内生产的合格产品，数量为</w:t>
      </w:r>
      <w:r>
        <w:t>1</w:t>
      </w:r>
      <w:r>
        <w:rPr>
          <w:rFonts w:hint="eastAsia"/>
        </w:rPr>
        <w:t>台。由鉴定人员验样并经制造商确认后，方可鉴定。</w:t>
      </w:r>
      <w:r>
        <w:t>样机应在制造商明示的合格品存放处获得，也可在使用现场获得，</w:t>
      </w:r>
      <w:r>
        <w:rPr>
          <w:rFonts w:hint="eastAsia"/>
        </w:rPr>
        <w:t>制造商对鉴定结果无异议后，样机由制造商自行处理。</w:t>
      </w:r>
      <w:bookmarkStart w:id="24" w:name="_Toc465764481"/>
    </w:p>
    <w:bookmarkEnd w:id="24"/>
    <w:p>
      <w:pPr>
        <w:pStyle w:val="21"/>
        <w:spacing w:beforeLines="0" w:afterLines="0"/>
        <w:rPr>
          <w:rFonts w:hAnsi="黑体" w:eastAsia="黑体" w:cs="黑体"/>
          <w:szCs w:val="21"/>
        </w:rPr>
      </w:pPr>
      <w:bookmarkStart w:id="25" w:name="_Toc400633523"/>
      <w:bookmarkStart w:id="26" w:name="_Toc7170184"/>
      <w:r>
        <w:rPr>
          <w:rFonts w:hint="eastAsia" w:hAnsi="黑体" w:eastAsia="黑体" w:cs="黑体"/>
          <w:szCs w:val="21"/>
        </w:rPr>
        <w:t>鉴定</w:t>
      </w:r>
      <w:bookmarkEnd w:id="25"/>
      <w:r>
        <w:rPr>
          <w:rFonts w:hint="eastAsia" w:hAnsi="黑体" w:eastAsia="黑体" w:cs="黑体"/>
          <w:szCs w:val="21"/>
        </w:rPr>
        <w:t>内容和方法</w:t>
      </w:r>
      <w:bookmarkEnd w:id="26"/>
    </w:p>
    <w:p>
      <w:pPr>
        <w:pStyle w:val="22"/>
        <w:spacing w:afterLines="50"/>
        <w:ind w:left="0"/>
        <w:rPr>
          <w:rFonts w:ascii="黑体" w:hAnsi="黑体" w:eastAsia="黑体" w:cs="黑体"/>
          <w:bCs/>
        </w:rPr>
      </w:pPr>
      <w:bookmarkStart w:id="27" w:name="_Toc7170185"/>
      <w:r>
        <w:rPr>
          <w:rFonts w:hint="eastAsia" w:ascii="黑体" w:hAnsi="黑体" w:eastAsia="黑体" w:cs="黑体"/>
          <w:bCs/>
        </w:rPr>
        <w:t>5.1一致性检查</w:t>
      </w:r>
      <w:bookmarkEnd w:id="27"/>
    </w:p>
    <w:p>
      <w:pPr>
        <w:pStyle w:val="23"/>
        <w:spacing w:afterLines="50"/>
        <w:ind w:left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5.1.1检查内容和方法</w:t>
      </w:r>
    </w:p>
    <w:p>
      <w:pPr>
        <w:pStyle w:val="18"/>
        <w:ind w:firstLine="0" w:firstLineChars="0"/>
        <w:rPr>
          <w:rFonts w:hAnsi="宋体"/>
        </w:rPr>
      </w:pPr>
      <w:r>
        <w:rPr>
          <w:rFonts w:hint="eastAsia"/>
        </w:rPr>
        <w:t xml:space="preserve">   一致性检查的项目</w:t>
      </w:r>
      <w:r>
        <w:rPr>
          <w:rFonts w:hint="eastAsia" w:hAnsi="宋体"/>
        </w:rPr>
        <w:t>、限制范围及检查方法见表</w:t>
      </w:r>
      <w:r>
        <w:rPr>
          <w:rFonts w:hAnsi="宋体"/>
        </w:rPr>
        <w:t>1</w:t>
      </w:r>
      <w:r>
        <w:rPr>
          <w:rFonts w:hint="eastAsia" w:hAnsi="宋体"/>
        </w:rPr>
        <w:t>。制造商填报的产品规格表的设计值应与其提供</w:t>
      </w:r>
    </w:p>
    <w:p>
      <w:pPr>
        <w:pStyle w:val="18"/>
        <w:ind w:firstLine="0" w:firstLineChars="0"/>
        <w:rPr>
          <w:rFonts w:hAnsi="宋体"/>
        </w:rPr>
      </w:pPr>
      <w:r>
        <w:rPr>
          <w:rFonts w:hint="eastAsia" w:hAnsi="宋体"/>
        </w:rPr>
        <w:t>的产品执行标准、产品使用说明书所描述的产品技术规格相一致。对照产品规格表的设计值对样机</w:t>
      </w:r>
    </w:p>
    <w:p>
      <w:pPr>
        <w:pStyle w:val="24"/>
      </w:pPr>
      <w:r>
        <w:rPr>
          <w:rFonts w:hint="eastAsia" w:ascii="宋体" w:hAnsi="宋体" w:eastAsia="宋体"/>
        </w:rPr>
        <w:t>的相应项目进行检查。</w:t>
      </w:r>
    </w:p>
    <w:p>
      <w:pPr>
        <w:pStyle w:val="25"/>
        <w:numPr>
          <w:ilvl w:val="0"/>
          <w:numId w:val="0"/>
        </w:numPr>
        <w:spacing w:beforeLines="50" w:afterLines="50"/>
        <w:ind w:left="108"/>
        <w:rPr>
          <w:rFonts w:hAnsi="黑体" w:eastAsia="黑体" w:cs="黑体"/>
        </w:rPr>
      </w:pPr>
      <w:r>
        <w:rPr>
          <w:rFonts w:hint="eastAsia" w:hAnsi="黑体" w:eastAsia="黑体" w:cs="黑体"/>
        </w:rPr>
        <w:t>表</w:t>
      </w:r>
      <w:r>
        <w:rPr>
          <w:rFonts w:hAnsi="黑体" w:eastAsia="黑体" w:cs="黑体"/>
        </w:rPr>
        <w:t xml:space="preserve">1  </w:t>
      </w:r>
      <w:r>
        <w:rPr>
          <w:rFonts w:hint="eastAsia" w:hAnsi="黑体" w:eastAsia="黑体" w:cs="黑体"/>
        </w:rPr>
        <w:t>一致性检查项目、限制范围及检查方法</w:t>
      </w:r>
    </w:p>
    <w:tbl>
      <w:tblPr>
        <w:tblStyle w:val="11"/>
        <w:tblW w:w="92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412"/>
        <w:gridCol w:w="1755"/>
        <w:gridCol w:w="1526"/>
        <w:gridCol w:w="1413"/>
        <w:gridCol w:w="1269"/>
        <w:gridCol w:w="12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序号</w:t>
            </w:r>
          </w:p>
        </w:tc>
        <w:tc>
          <w:tcPr>
            <w:tcW w:w="3167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检查项目</w:t>
            </w:r>
          </w:p>
        </w:tc>
        <w:tc>
          <w:tcPr>
            <w:tcW w:w="1526" w:type="dxa"/>
            <w:vMerge w:val="restart"/>
            <w:vAlign w:val="center"/>
          </w:tcPr>
          <w:p>
            <w:pPr>
              <w:spacing w:line="240" w:lineRule="atLeas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限制范围</w:t>
            </w:r>
          </w:p>
        </w:tc>
        <w:tc>
          <w:tcPr>
            <w:tcW w:w="141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检查方法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机型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67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驱动型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非驱动型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型号名称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结构型式（驱动型、非驱动型）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行距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工作行数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工作幅宽（行距</w:t>
            </w:r>
            <w:r>
              <w:rPr>
                <w:rFonts w:ascii="宋体" w:hAnsi="宋体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sz w:val="18"/>
                <w:szCs w:val="18"/>
              </w:rPr>
              <w:t>行数）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配套拖拉机功率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配套拖拉机动力输出轴转速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耕作单体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（驱动型）</w:t>
            </w: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耕作宽度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秸秆清理部件型式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刀辊总成</w:t>
            </w: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刀辊回转半径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允许偏差为3%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测量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刀片型式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刀片数量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碎土部件型式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镇压部件型式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深松部（如有）</w:t>
            </w: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9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耕作单体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（非驱动型）</w:t>
            </w: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耕作宽度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限深装置型式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切碎装置型式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秸秆分离装置型式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耕作部件型式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碎土部件型式</w:t>
            </w:r>
          </w:p>
        </w:tc>
        <w:tc>
          <w:tcPr>
            <w:tcW w:w="152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9262" w:type="dxa"/>
            <w:gridSpan w:val="7"/>
            <w:vAlign w:val="center"/>
          </w:tcPr>
          <w:p>
            <w:pPr>
              <w:autoSpaceDE w:val="0"/>
              <w:autoSpaceDN w:val="0"/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注：1.</w:t>
            </w:r>
            <w:r>
              <w:rPr>
                <w:rFonts w:hint="eastAsia" w:ascii="宋体" w:hAnsi="宋体"/>
                <w:sz w:val="18"/>
                <w:szCs w:val="18"/>
              </w:rPr>
              <w:t>因机具结构不同，检查项目会有差异。</w:t>
            </w:r>
          </w:p>
          <w:p>
            <w:pPr>
              <w:autoSpaceDE w:val="0"/>
              <w:autoSpaceDN w:val="0"/>
              <w:spacing w:line="0" w:lineRule="atLeas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2.耕作单体耕作宽度企业应给出范围值。</w:t>
            </w:r>
          </w:p>
          <w:p>
            <w:pPr>
              <w:autoSpaceDE w:val="0"/>
              <w:autoSpaceDN w:val="0"/>
              <w:spacing w:line="0" w:lineRule="atLeast"/>
              <w:ind w:firstLine="360" w:firstLineChars="200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3.表中“√”表示适用，“/”表示不适用。</w:t>
            </w:r>
          </w:p>
        </w:tc>
      </w:tr>
    </w:tbl>
    <w:p>
      <w:pPr>
        <w:pStyle w:val="22"/>
        <w:spacing w:beforeLines="50" w:afterLines="50"/>
        <w:ind w:left="0"/>
        <w:rPr>
          <w:rFonts w:ascii="黑体" w:hAnsi="黑体" w:eastAsia="黑体" w:cs="宋体"/>
          <w:szCs w:val="22"/>
        </w:rPr>
      </w:pPr>
      <w:r>
        <w:rPr>
          <w:rFonts w:ascii="黑体" w:hAnsi="黑体" w:eastAsia="黑体" w:cs="宋体"/>
          <w:szCs w:val="22"/>
        </w:rPr>
        <w:t xml:space="preserve">5.1.2 </w:t>
      </w:r>
      <w:r>
        <w:rPr>
          <w:rFonts w:hint="eastAsia" w:ascii="黑体" w:hAnsi="黑体" w:eastAsia="黑体" w:cs="宋体"/>
          <w:szCs w:val="22"/>
        </w:rPr>
        <w:t>判定规则</w:t>
      </w:r>
    </w:p>
    <w:p>
      <w:pPr>
        <w:pStyle w:val="21"/>
        <w:numPr>
          <w:ilvl w:val="0"/>
          <w:numId w:val="0"/>
        </w:numPr>
        <w:spacing w:beforeLines="0" w:afterLines="0"/>
        <w:ind w:firstLine="420" w:firstLineChars="200"/>
        <w:rPr>
          <w:rFonts w:ascii="宋体"/>
        </w:rPr>
      </w:pPr>
      <w:bookmarkStart w:id="28" w:name="_Toc7170186"/>
      <w:bookmarkStart w:id="29" w:name="_Toc5200673"/>
      <w:bookmarkStart w:id="30" w:name="_Toc465764486"/>
      <w:bookmarkStart w:id="31" w:name="_Toc465531491"/>
      <w:bookmarkStart w:id="32" w:name="_Toc453770807"/>
      <w:bookmarkStart w:id="33" w:name="_Toc454409563"/>
      <w:bookmarkStart w:id="34" w:name="_Toc454359479"/>
      <w:bookmarkStart w:id="35" w:name="_Toc453772129"/>
      <w:bookmarkStart w:id="36" w:name="_Toc465531599"/>
      <w:bookmarkStart w:id="37" w:name="_Toc453770871"/>
      <w:bookmarkStart w:id="38" w:name="_Toc9964"/>
      <w:r>
        <w:rPr>
          <w:rFonts w:hint="eastAsia" w:ascii="宋体"/>
        </w:rPr>
        <w:t>一致性检查的全部项目结果均满足表</w:t>
      </w:r>
      <w:r>
        <w:rPr>
          <w:rFonts w:ascii="宋体"/>
        </w:rPr>
        <w:t>1</w:t>
      </w:r>
      <w:r>
        <w:rPr>
          <w:rFonts w:hint="eastAsia" w:ascii="宋体"/>
        </w:rPr>
        <w:t>要求时，一致性检查结论为符合大纲要求；否则，一致性检查结论为不符合大纲要求。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>
      <w:pPr>
        <w:pStyle w:val="22"/>
        <w:spacing w:beforeLines="50" w:afterLines="50"/>
        <w:ind w:left="0"/>
        <w:rPr>
          <w:rFonts w:ascii="黑体" w:hAnsi="黑体" w:eastAsia="黑体" w:cs="宋体"/>
          <w:szCs w:val="22"/>
        </w:rPr>
      </w:pPr>
      <w:bookmarkStart w:id="39" w:name="_Toc7170187"/>
      <w:r>
        <w:rPr>
          <w:rFonts w:hint="eastAsia" w:ascii="黑体" w:hAnsi="黑体" w:eastAsia="黑体" w:cs="宋体"/>
          <w:szCs w:val="22"/>
        </w:rPr>
        <w:t>5.2创新性评价</w:t>
      </w:r>
      <w:bookmarkEnd w:id="39"/>
    </w:p>
    <w:p>
      <w:pPr>
        <w:pStyle w:val="18"/>
        <w:tabs>
          <w:tab w:val="center" w:pos="4201"/>
          <w:tab w:val="right" w:leader="dot" w:pos="9298"/>
        </w:tabs>
        <w:ind w:firstLine="0" w:firstLineChars="0"/>
        <w:rPr>
          <w:rFonts w:ascii="黑体" w:hAnsi="黑体" w:eastAsia="黑体"/>
        </w:rPr>
      </w:pPr>
      <w:r>
        <w:rPr>
          <w:rFonts w:ascii="黑体" w:eastAsia="黑体" w:cs="黑体"/>
        </w:rPr>
        <w:t>5.2.1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评价方法及内容</w:t>
      </w:r>
    </w:p>
    <w:p>
      <w:pPr>
        <w:pStyle w:val="26"/>
        <w:adjustRightInd w:val="0"/>
        <w:spacing w:before="0" w:after="0"/>
        <w:ind w:left="0" w:firstLine="0"/>
        <w:jc w:val="both"/>
        <w:rPr>
          <w:rFonts w:ascii="黑体" w:hAnsi="宋体" w:cs="Times New Roman"/>
          <w:kern w:val="2"/>
          <w:szCs w:val="24"/>
        </w:rPr>
      </w:pPr>
      <w:r>
        <w:rPr>
          <w:rFonts w:ascii="黑体" w:eastAsia="黑体" w:cs="黑体"/>
        </w:rPr>
        <w:t>5.2.1.1</w:t>
      </w:r>
      <w:r>
        <w:t xml:space="preserve"> </w:t>
      </w:r>
      <w:r>
        <w:rPr>
          <w:rFonts w:hint="eastAsia" w:ascii="黑体" w:hAnsi="宋体" w:cs="Times New Roman"/>
          <w:kern w:val="2"/>
          <w:szCs w:val="24"/>
        </w:rPr>
        <w:t>创新性评价依据创新产品应用领域、技术创新点的情况，采用材料评审方式或专家组评价方</w:t>
      </w:r>
    </w:p>
    <w:p>
      <w:pPr>
        <w:pStyle w:val="26"/>
        <w:adjustRightInd w:val="0"/>
        <w:spacing w:before="0" w:after="0"/>
        <w:ind w:left="0" w:firstLine="0"/>
        <w:rPr>
          <w:rFonts w:ascii="黑体" w:hAnsi="宋体" w:cs="Times New Roman"/>
          <w:kern w:val="2"/>
          <w:szCs w:val="24"/>
        </w:rPr>
      </w:pPr>
      <w:r>
        <w:rPr>
          <w:rFonts w:hint="eastAsia" w:ascii="黑体" w:hAnsi="宋体" w:cs="Times New Roman"/>
          <w:kern w:val="2"/>
          <w:szCs w:val="24"/>
        </w:rPr>
        <w:t>式之一进行评价，当材料评审不能判定其创新性时，应采取专家组评价方式。</w:t>
      </w:r>
    </w:p>
    <w:p>
      <w:pPr>
        <w:pStyle w:val="27"/>
        <w:tabs>
          <w:tab w:val="clear" w:pos="0"/>
          <w:tab w:val="clear" w:pos="142"/>
          <w:tab w:val="clear" w:pos="196"/>
        </w:tabs>
        <w:adjustRightInd w:val="0"/>
        <w:snapToGrid w:val="0"/>
        <w:ind w:left="0"/>
        <w:rPr>
          <w:rFonts w:ascii="黑体" w:hAnsi="宋体"/>
          <w:kern w:val="2"/>
          <w:szCs w:val="24"/>
        </w:rPr>
      </w:pPr>
      <w:r>
        <w:rPr>
          <w:rFonts w:ascii="黑体" w:eastAsia="黑体" w:cs="黑体"/>
        </w:rPr>
        <w:t>5.2.1.2</w:t>
      </w:r>
      <w:r>
        <w:rPr>
          <w:rFonts w:hint="eastAsia" w:ascii="黑体" w:hAnsi="宋体"/>
          <w:kern w:val="2"/>
          <w:szCs w:val="24"/>
        </w:rPr>
        <w:t>材料评审方式，依据制造商提供以下材料进行评价：</w:t>
      </w:r>
    </w:p>
    <w:p>
      <w:pPr>
        <w:pStyle w:val="28"/>
        <w:tabs>
          <w:tab w:val="left" w:pos="840"/>
        </w:tabs>
        <w:adjustRightInd w:val="0"/>
        <w:snapToGrid w:val="0"/>
        <w:ind w:left="839" w:leftChars="0" w:hanging="419" w:firstLineChars="0"/>
        <w:rPr>
          <w:rFonts w:hAnsi="宋体" w:cs="宋体"/>
          <w:kern w:val="2"/>
          <w:szCs w:val="24"/>
        </w:rPr>
      </w:pPr>
      <w:r>
        <w:rPr>
          <w:rFonts w:hint="eastAsia" w:hAnsi="宋体" w:cs="宋体"/>
          <w:kern w:val="2"/>
          <w:szCs w:val="24"/>
        </w:rPr>
        <w:t>a) 发明专利；</w:t>
      </w:r>
    </w:p>
    <w:p>
      <w:pPr>
        <w:pStyle w:val="28"/>
        <w:tabs>
          <w:tab w:val="left" w:pos="840"/>
        </w:tabs>
        <w:ind w:left="839" w:leftChars="0" w:hanging="419" w:firstLineChars="0"/>
        <w:rPr>
          <w:rFonts w:hAnsi="宋体" w:cs="宋体"/>
          <w:kern w:val="2"/>
          <w:szCs w:val="24"/>
        </w:rPr>
      </w:pPr>
      <w:r>
        <w:rPr>
          <w:rFonts w:hint="eastAsia" w:hAnsi="宋体" w:cs="宋体"/>
          <w:kern w:val="2"/>
          <w:szCs w:val="24"/>
        </w:rPr>
        <w:t>b) 实用新型专利；</w:t>
      </w:r>
    </w:p>
    <w:p>
      <w:pPr>
        <w:pStyle w:val="28"/>
        <w:tabs>
          <w:tab w:val="left" w:pos="840"/>
        </w:tabs>
        <w:ind w:left="839" w:leftChars="0" w:hanging="419" w:firstLineChars="0"/>
        <w:rPr>
          <w:rFonts w:ascii="黑体" w:hAnsi="宋体"/>
          <w:kern w:val="2"/>
          <w:szCs w:val="24"/>
        </w:rPr>
      </w:pPr>
      <w:r>
        <w:rPr>
          <w:rFonts w:hint="eastAsia" w:hAnsi="宋体" w:cs="宋体"/>
          <w:kern w:val="2"/>
          <w:szCs w:val="24"/>
        </w:rPr>
        <w:t xml:space="preserve">c) </w:t>
      </w:r>
      <w:r>
        <w:rPr>
          <w:rFonts w:hint="eastAsia" w:ascii="黑体" w:hAnsi="宋体"/>
          <w:kern w:val="2"/>
          <w:szCs w:val="24"/>
        </w:rPr>
        <w:t>科技成果评价证书；</w:t>
      </w:r>
    </w:p>
    <w:p>
      <w:pPr>
        <w:pStyle w:val="28"/>
        <w:tabs>
          <w:tab w:val="left" w:pos="840"/>
        </w:tabs>
        <w:ind w:left="839" w:leftChars="0" w:hanging="419" w:firstLineChars="0"/>
        <w:rPr>
          <w:rFonts w:hAnsi="宋体"/>
          <w:color w:val="FF0000"/>
        </w:rPr>
      </w:pPr>
      <w:r>
        <w:rPr>
          <w:rFonts w:hint="eastAsia" w:hAnsi="宋体" w:cs="宋体"/>
          <w:kern w:val="2"/>
          <w:szCs w:val="24"/>
        </w:rPr>
        <w:t xml:space="preserve">d) </w:t>
      </w:r>
      <w:r>
        <w:rPr>
          <w:rFonts w:hint="eastAsia" w:ascii="黑体" w:hAnsi="宋体"/>
          <w:kern w:val="2"/>
          <w:szCs w:val="24"/>
        </w:rPr>
        <w:t>科技成果查新报告。</w:t>
      </w:r>
    </w:p>
    <w:p>
      <w:pPr>
        <w:rPr>
          <w:rFonts w:ascii="黑体" w:hAnsi="宋体"/>
        </w:rPr>
      </w:pPr>
      <w:r>
        <w:rPr>
          <w:rFonts w:ascii="黑体" w:hAnsi="宋体" w:eastAsia="黑体" w:cs="黑体"/>
          <w:kern w:val="0"/>
          <w:szCs w:val="20"/>
        </w:rPr>
        <w:t xml:space="preserve">5.2.1.3 </w:t>
      </w:r>
      <w:r>
        <w:rPr>
          <w:rFonts w:hint="eastAsia" w:ascii="黑体" w:hAnsi="宋体"/>
        </w:rPr>
        <w:t>专家组评价方式，由省级以上农机鉴定、推广机构或农机学会（协会）等组织专家组成评审组，对制造商提供的创新性材料等进行评价，专家组人数为单数且不少</w:t>
      </w:r>
      <w:r>
        <w:rPr>
          <w:rFonts w:hint="eastAsia" w:ascii="宋体" w:hAnsi="宋体" w:cs="宋体"/>
        </w:rPr>
        <w:t>于3</w:t>
      </w:r>
      <w:r>
        <w:rPr>
          <w:rFonts w:hint="eastAsia" w:ascii="黑体" w:hAnsi="宋体"/>
        </w:rPr>
        <w:t>名。</w:t>
      </w:r>
    </w:p>
    <w:p>
      <w:pPr>
        <w:pStyle w:val="18"/>
        <w:tabs>
          <w:tab w:val="center" w:pos="4201"/>
          <w:tab w:val="right" w:leader="dot" w:pos="9298"/>
        </w:tabs>
        <w:ind w:firstLine="0" w:firstLineChars="0"/>
        <w:rPr>
          <w:rFonts w:hAnsi="宋体"/>
          <w:strike/>
        </w:rPr>
      </w:pPr>
      <w:r>
        <w:rPr>
          <w:rFonts w:ascii="黑体" w:hAnsi="宋体" w:eastAsia="黑体" w:cs="黑体"/>
        </w:rPr>
        <w:t xml:space="preserve">5.2.2  </w:t>
      </w:r>
      <w:r>
        <w:rPr>
          <w:rFonts w:hint="eastAsia" w:ascii="黑体" w:hAnsi="黑体" w:eastAsia="黑体" w:cs="黑体"/>
        </w:rPr>
        <w:t>判定规则</w:t>
      </w:r>
    </w:p>
    <w:p>
      <w:pPr>
        <w:pStyle w:val="18"/>
        <w:tabs>
          <w:tab w:val="center" w:pos="4201"/>
          <w:tab w:val="right" w:leader="dot" w:pos="9298"/>
        </w:tabs>
        <w:ind w:firstLine="0" w:firstLineChars="0"/>
        <w:rPr>
          <w:rFonts w:ascii="黑体" w:hAnsi="宋体"/>
          <w:kern w:val="2"/>
          <w:szCs w:val="24"/>
        </w:rPr>
      </w:pPr>
      <w:r>
        <w:rPr>
          <w:rFonts w:ascii="黑体" w:hAnsi="宋体" w:eastAsia="黑体" w:cs="黑体"/>
        </w:rPr>
        <w:t>5.2.2.1</w:t>
      </w:r>
      <w:r>
        <w:t xml:space="preserve"> </w:t>
      </w:r>
      <w:r>
        <w:rPr>
          <w:rFonts w:hint="eastAsia"/>
        </w:rPr>
        <w:t>采</w:t>
      </w:r>
      <w:r>
        <w:rPr>
          <w:rFonts w:hint="eastAsia" w:ascii="黑体" w:hAnsi="宋体"/>
          <w:kern w:val="2"/>
          <w:szCs w:val="24"/>
        </w:rPr>
        <w:t>用材料评审方式的。制造商能提供</w:t>
      </w:r>
      <w:r>
        <w:rPr>
          <w:rFonts w:hint="eastAsia" w:hAnsi="宋体" w:cs="宋体"/>
          <w:kern w:val="2"/>
          <w:szCs w:val="24"/>
        </w:rPr>
        <w:t>5.2.1.2</w:t>
      </w:r>
      <w:r>
        <w:rPr>
          <w:rFonts w:hint="eastAsia" w:ascii="黑体" w:hAnsi="宋体"/>
          <w:kern w:val="2"/>
          <w:szCs w:val="24"/>
        </w:rPr>
        <w:t>规定的一种或一种以上材料，除专利外其他材料获得日期不超过一年（以申请鉴定日计算），且经确定该产品具有创新性的，创新性评价结论为符合大纲要求；否则，结论为不符合大纲要求。</w:t>
      </w:r>
    </w:p>
    <w:p>
      <w:pPr>
        <w:pStyle w:val="18"/>
        <w:tabs>
          <w:tab w:val="center" w:pos="4201"/>
          <w:tab w:val="right" w:leader="dot" w:pos="9298"/>
        </w:tabs>
        <w:ind w:firstLine="0" w:firstLineChars="0"/>
        <w:rPr>
          <w:rFonts w:hAnsi="宋体"/>
        </w:rPr>
      </w:pPr>
      <w:r>
        <w:rPr>
          <w:rFonts w:ascii="黑体" w:hAnsi="宋体" w:eastAsia="黑体" w:cs="黑体"/>
        </w:rPr>
        <w:t>5.2.2.2</w:t>
      </w:r>
      <w:r>
        <w:t xml:space="preserve"> </w:t>
      </w:r>
      <w:r>
        <w:rPr>
          <w:rFonts w:hint="eastAsia" w:ascii="黑体" w:hAnsi="宋体"/>
          <w:kern w:val="2"/>
          <w:szCs w:val="24"/>
        </w:rPr>
        <w:t>采用专家组评价方式的。专家组形成创新性评价意见，</w:t>
      </w:r>
      <w:r>
        <w:rPr>
          <w:rFonts w:hint="eastAsia" w:hAnsi="宋体" w:cs="宋体"/>
          <w:kern w:val="2"/>
          <w:szCs w:val="24"/>
        </w:rPr>
        <w:t>2/3</w:t>
      </w:r>
      <w:r>
        <w:rPr>
          <w:rFonts w:hint="eastAsia" w:ascii="黑体" w:hAnsi="宋体"/>
          <w:kern w:val="2"/>
          <w:szCs w:val="24"/>
        </w:rPr>
        <w:t>以上的专家评价该产品具有创新性，结论为符合要求；否则，结论为不符合要求。</w:t>
      </w:r>
    </w:p>
    <w:p>
      <w:pPr>
        <w:pStyle w:val="22"/>
        <w:spacing w:beforeLines="50" w:afterLines="50"/>
        <w:ind w:left="0"/>
        <w:rPr>
          <w:rFonts w:ascii="黑体" w:hAnsi="黑体" w:eastAsia="黑体" w:cs="宋体"/>
          <w:szCs w:val="22"/>
        </w:rPr>
      </w:pPr>
      <w:bookmarkStart w:id="40" w:name="_Toc7170188"/>
      <w:r>
        <w:rPr>
          <w:rFonts w:hint="eastAsia" w:ascii="黑体" w:hAnsi="黑体" w:eastAsia="黑体" w:cs="宋体"/>
          <w:szCs w:val="22"/>
        </w:rPr>
        <w:t>5.3安全性检查</w:t>
      </w:r>
      <w:bookmarkEnd w:id="40"/>
    </w:p>
    <w:p>
      <w:pPr>
        <w:pStyle w:val="29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5.3.</w:t>
      </w:r>
      <w:r>
        <w:rPr>
          <w:rFonts w:hint="eastAsia" w:ascii="黑体" w:hAnsi="黑体" w:eastAsia="黑体" w:cs="黑体"/>
        </w:rPr>
        <w:t>1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安全防护</w:t>
      </w:r>
    </w:p>
    <w:p>
      <w:pPr>
        <w:pStyle w:val="27"/>
        <w:ind w:left="0"/>
      </w:pPr>
      <w:r>
        <w:rPr>
          <w:rFonts w:ascii="黑体" w:hAnsi="黑体" w:eastAsia="黑体" w:cs="黑体"/>
        </w:rPr>
        <w:t>5.3.</w:t>
      </w:r>
      <w:r>
        <w:rPr>
          <w:rFonts w:hint="eastAsia" w:ascii="黑体" w:hAnsi="黑体" w:eastAsia="黑体" w:cs="黑体"/>
        </w:rPr>
        <w:t>1</w:t>
      </w:r>
      <w:r>
        <w:rPr>
          <w:rFonts w:ascii="黑体" w:hAnsi="黑体" w:eastAsia="黑体" w:cs="黑体"/>
        </w:rPr>
        <w:t xml:space="preserve">.1 </w:t>
      </w:r>
      <w:r>
        <w:rPr>
          <w:rFonts w:hint="eastAsia"/>
        </w:rPr>
        <w:t>机具作业中，操作者可接触到的区域内不应有剪切或挤压危险。</w:t>
      </w:r>
    </w:p>
    <w:p>
      <w:pPr>
        <w:pStyle w:val="27"/>
        <w:ind w:left="0"/>
        <w:rPr>
          <w:rFonts w:ascii="宋体" w:hAnsi="宋体" w:cs="宋体"/>
        </w:rPr>
      </w:pPr>
      <w:r>
        <w:rPr>
          <w:rFonts w:ascii="黑体" w:hAnsi="黑体" w:eastAsia="黑体" w:cs="黑体"/>
        </w:rPr>
        <w:t>5.3.</w:t>
      </w:r>
      <w:r>
        <w:rPr>
          <w:rFonts w:hint="eastAsia" w:ascii="黑体" w:hAnsi="黑体" w:eastAsia="黑体" w:cs="黑体"/>
        </w:rPr>
        <w:t>1</w:t>
      </w:r>
      <w:r>
        <w:rPr>
          <w:rFonts w:ascii="黑体" w:hAnsi="黑体" w:eastAsia="黑体" w:cs="黑体"/>
        </w:rPr>
        <w:t>.2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外露回转件应有安全防护装置</w:t>
      </w:r>
      <w:r>
        <w:rPr>
          <w:rFonts w:hint="eastAsia" w:hAnsi="宋体"/>
        </w:rPr>
        <w:t>。</w:t>
      </w:r>
      <w:r>
        <w:rPr>
          <w:rFonts w:hint="eastAsia" w:ascii="宋体" w:hAnsi="宋体" w:cs="宋体"/>
        </w:rPr>
        <w:t>防护装置应有足够的刚度，保证人体触及时不产生变形或位移，防护装置应保证人体任何部位不会接触转动部件。</w:t>
      </w:r>
    </w:p>
    <w:p>
      <w:pPr>
        <w:pStyle w:val="18"/>
        <w:ind w:firstLine="0" w:firstLineChars="0"/>
        <w:rPr>
          <w:rFonts w:hAnsi="宋体" w:cs="宋体"/>
        </w:rPr>
      </w:pPr>
      <w:r>
        <w:rPr>
          <w:rFonts w:hint="eastAsia" w:ascii="黑体" w:hAnsi="黑体" w:eastAsia="黑体" w:cs="黑体"/>
        </w:rPr>
        <w:t xml:space="preserve">5.3.1.3 </w:t>
      </w:r>
      <w:r>
        <w:rPr>
          <w:rFonts w:hint="eastAsia" w:hAnsi="宋体" w:cs="宋体"/>
        </w:rPr>
        <w:t>驱动型条（带）耕作整地机工作部件的前部、后部和侧面的防护应符合下面规定：</w:t>
      </w:r>
    </w:p>
    <w:p>
      <w:pPr>
        <w:pStyle w:val="18"/>
        <w:numPr>
          <w:ilvl w:val="0"/>
          <w:numId w:val="1"/>
        </w:numPr>
        <w:ind w:firstLine="0" w:firstLineChars="0"/>
        <w:rPr>
          <w:rFonts w:hAnsi="宋体" w:cs="宋体"/>
        </w:rPr>
      </w:pPr>
      <w:r>
        <w:rPr>
          <w:rFonts w:hint="eastAsia" w:hAnsi="宋体" w:cs="宋体"/>
        </w:rPr>
        <w:t xml:space="preserve">     a) 前部防护装置应覆盖机具耕作宽度，防护从工作部件最外端运动轨迹向前延伸不小于</w:t>
      </w:r>
      <w:r>
        <w:rPr>
          <w:rFonts w:hAnsi="宋体" w:cs="宋体"/>
        </w:rPr>
        <w:t>200 mm</w:t>
      </w:r>
      <w:r>
        <w:rPr>
          <w:rFonts w:hint="eastAsia" w:hAnsi="宋体" w:cs="宋体"/>
        </w:rPr>
        <w:t>；</w:t>
      </w:r>
    </w:p>
    <w:p>
      <w:pPr>
        <w:pStyle w:val="18"/>
        <w:numPr>
          <w:ilvl w:val="0"/>
          <w:numId w:val="1"/>
        </w:numPr>
        <w:ind w:firstLine="0" w:firstLineChars="0"/>
        <w:rPr>
          <w:rFonts w:hAnsi="宋体" w:cs="宋体"/>
        </w:rPr>
      </w:pPr>
      <w:r>
        <w:rPr>
          <w:rFonts w:hint="eastAsia" w:hAnsi="宋体" w:cs="宋体"/>
        </w:rPr>
        <w:t xml:space="preserve">     b) 后部防护装置应覆盖机具耕作宽度；</w:t>
      </w:r>
    </w:p>
    <w:p>
      <w:pPr>
        <w:pStyle w:val="18"/>
        <w:numPr>
          <w:ilvl w:val="0"/>
          <w:numId w:val="1"/>
        </w:numPr>
        <w:ind w:firstLine="0" w:firstLineChars="0"/>
        <w:rPr>
          <w:rFonts w:hAnsi="宋体" w:cs="宋体"/>
        </w:rPr>
      </w:pPr>
      <w:r>
        <w:rPr>
          <w:rFonts w:hint="eastAsia" w:hAnsi="宋体" w:cs="宋体"/>
        </w:rPr>
        <w:t xml:space="preserve">     c) 工作状态时，侧面的防护罩应能覆盖地面以上的旋转部件。</w:t>
      </w:r>
    </w:p>
    <w:p>
      <w:pPr>
        <w:pStyle w:val="18"/>
        <w:numPr>
          <w:ilvl w:val="0"/>
          <w:numId w:val="1"/>
        </w:numPr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5.3.1.4 </w:t>
      </w:r>
      <w:r>
        <w:rPr>
          <w:rFonts w:hint="eastAsia" w:hAnsi="宋体" w:cs="宋体"/>
        </w:rPr>
        <w:t>机具应能单独安全可靠停放，必要时应有支撑机构。</w:t>
      </w:r>
    </w:p>
    <w:p>
      <w:pPr>
        <w:widowControl/>
        <w:autoSpaceDE w:val="0"/>
        <w:autoSpaceDN w:val="0"/>
        <w:rPr>
          <w:rFonts w:ascii="黑体" w:hAnsi="黑体" w:eastAsia="黑体"/>
        </w:rPr>
      </w:pPr>
      <w:r>
        <w:rPr>
          <w:rFonts w:ascii="黑体" w:hAnsi="黑体" w:eastAsia="黑体"/>
        </w:rPr>
        <w:t>5.3.</w:t>
      </w:r>
      <w:r>
        <w:rPr>
          <w:rFonts w:hint="eastAsia" w:ascii="黑体" w:hAnsi="黑体" w:eastAsia="黑体"/>
        </w:rPr>
        <w:t>2</w:t>
      </w:r>
      <w:r>
        <w:rPr>
          <w:rFonts w:ascii="黑体" w:hAnsi="黑体" w:eastAsia="黑体"/>
        </w:rPr>
        <w:t xml:space="preserve">  </w:t>
      </w:r>
      <w:r>
        <w:rPr>
          <w:rFonts w:hint="eastAsia" w:ascii="黑体" w:hAnsi="黑体" w:eastAsia="黑体"/>
        </w:rPr>
        <w:t>安全信息</w:t>
      </w:r>
    </w:p>
    <w:p>
      <w:pPr>
        <w:widowControl/>
        <w:autoSpaceDE w:val="0"/>
        <w:autoSpaceDN w:val="0"/>
        <w:rPr>
          <w:rFonts w:ascii="宋体" w:hAnsi="宋体"/>
          <w:kern w:val="0"/>
          <w:szCs w:val="20"/>
        </w:rPr>
      </w:pPr>
      <w:r>
        <w:rPr>
          <w:rFonts w:ascii="黑体" w:hAnsi="黑体" w:eastAsia="黑体" w:cs="黑体"/>
          <w:kern w:val="0"/>
          <w:szCs w:val="20"/>
        </w:rPr>
        <w:t>5.3.</w:t>
      </w:r>
      <w:r>
        <w:rPr>
          <w:rFonts w:hint="eastAsia" w:ascii="黑体" w:hAnsi="黑体" w:eastAsia="黑体" w:cs="黑体"/>
          <w:kern w:val="0"/>
          <w:szCs w:val="20"/>
        </w:rPr>
        <w:t>2</w:t>
      </w:r>
      <w:r>
        <w:rPr>
          <w:rFonts w:ascii="黑体" w:hAnsi="黑体" w:eastAsia="黑体" w:cs="黑体"/>
          <w:kern w:val="0"/>
          <w:szCs w:val="20"/>
        </w:rPr>
        <w:t xml:space="preserve">.1 </w:t>
      </w:r>
      <w:r>
        <w:rPr>
          <w:rFonts w:hint="eastAsia" w:ascii="宋体" w:hAnsi="宋体"/>
          <w:kern w:val="0"/>
          <w:szCs w:val="20"/>
        </w:rPr>
        <w:t xml:space="preserve">存在危险或有潜在危险的部位应固定安全标志，安全标志应符合 </w:t>
      </w:r>
      <w:r>
        <w:rPr>
          <w:rFonts w:ascii="宋体" w:hAnsi="宋体"/>
          <w:kern w:val="0"/>
          <w:szCs w:val="20"/>
        </w:rPr>
        <w:t>GB 10396</w:t>
      </w:r>
      <w:r>
        <w:rPr>
          <w:rFonts w:hint="eastAsia" w:ascii="宋体" w:hAnsi="宋体"/>
          <w:kern w:val="0"/>
          <w:szCs w:val="20"/>
        </w:rPr>
        <w:t>的规定。</w:t>
      </w:r>
    </w:p>
    <w:p>
      <w:pPr>
        <w:widowControl/>
        <w:autoSpaceDE w:val="0"/>
        <w:autoSpaceDN w:val="0"/>
        <w:rPr>
          <w:rFonts w:ascii="黑体" w:hAnsi="黑体" w:eastAsia="黑体" w:cs="黑体"/>
          <w:kern w:val="0"/>
          <w:szCs w:val="20"/>
        </w:rPr>
      </w:pPr>
      <w:r>
        <w:rPr>
          <w:rFonts w:hint="eastAsia" w:ascii="黑体" w:hAnsi="黑体" w:eastAsia="黑体" w:cs="黑体"/>
          <w:kern w:val="0"/>
          <w:szCs w:val="20"/>
        </w:rPr>
        <w:t xml:space="preserve">5.3.2.2 </w:t>
      </w:r>
      <w:r>
        <w:rPr>
          <w:rFonts w:hint="eastAsia" w:ascii="宋体" w:hAnsi="宋体"/>
          <w:kern w:val="0"/>
          <w:szCs w:val="20"/>
        </w:rPr>
        <w:t>运输宽度大于2.1m时，机器后部应安装示廓反射器或采用反光物质制造的轮廓条带。</w:t>
      </w:r>
    </w:p>
    <w:p>
      <w:pPr>
        <w:widowControl/>
        <w:autoSpaceDE w:val="0"/>
        <w:autoSpaceDN w:val="0"/>
        <w:rPr>
          <w:rFonts w:ascii="宋体" w:hAnsi="宋体" w:cs="宋体"/>
          <w:kern w:val="0"/>
          <w:szCs w:val="20"/>
        </w:rPr>
      </w:pPr>
      <w:r>
        <w:rPr>
          <w:rFonts w:ascii="黑体" w:hAnsi="黑体" w:eastAsia="黑体" w:cs="黑体"/>
          <w:kern w:val="0"/>
          <w:szCs w:val="20"/>
        </w:rPr>
        <w:t>5.3.</w:t>
      </w:r>
      <w:r>
        <w:rPr>
          <w:rFonts w:hint="eastAsia" w:ascii="黑体" w:hAnsi="黑体" w:eastAsia="黑体" w:cs="黑体"/>
          <w:kern w:val="0"/>
          <w:szCs w:val="20"/>
        </w:rPr>
        <w:t>2</w:t>
      </w:r>
      <w:r>
        <w:rPr>
          <w:rFonts w:ascii="黑体" w:hAnsi="黑体" w:eastAsia="黑体" w:cs="黑体"/>
          <w:kern w:val="0"/>
          <w:szCs w:val="20"/>
        </w:rPr>
        <w:t>.</w:t>
      </w:r>
      <w:r>
        <w:rPr>
          <w:rFonts w:hint="eastAsia" w:ascii="黑体" w:hAnsi="黑体" w:eastAsia="黑体" w:cs="黑体"/>
          <w:kern w:val="0"/>
          <w:szCs w:val="20"/>
        </w:rPr>
        <w:t>3</w:t>
      </w:r>
      <w:r>
        <w:rPr>
          <w:rFonts w:ascii="黑体" w:hAnsi="黑体" w:eastAsia="黑体" w:cs="黑体"/>
          <w:kern w:val="0"/>
          <w:szCs w:val="20"/>
        </w:rPr>
        <w:t xml:space="preserve"> </w:t>
      </w:r>
      <w:r>
        <w:rPr>
          <w:rFonts w:hint="eastAsia" w:ascii="宋体" w:hAnsi="宋体"/>
          <w:kern w:val="0"/>
          <w:szCs w:val="20"/>
        </w:rPr>
        <w:t>使用说明书中应有安全注意事项，</w:t>
      </w:r>
      <w:r>
        <w:rPr>
          <w:rFonts w:hint="eastAsia" w:ascii="宋体" w:hAnsi="宋体" w:cs="宋体"/>
          <w:kern w:val="0"/>
          <w:szCs w:val="20"/>
        </w:rPr>
        <w:t>安全标志应在说明书中重现并进行说明。</w:t>
      </w:r>
    </w:p>
    <w:p>
      <w:pPr>
        <w:widowControl/>
        <w:autoSpaceDE w:val="0"/>
        <w:autoSpaceDN w:val="0"/>
        <w:rPr>
          <w:rFonts w:ascii="黑体" w:hAnsi="黑体" w:eastAsia="黑体" w:cs="黑体"/>
          <w:kern w:val="0"/>
          <w:szCs w:val="20"/>
        </w:rPr>
      </w:pPr>
      <w:r>
        <w:rPr>
          <w:rFonts w:ascii="黑体" w:hAnsi="黑体" w:eastAsia="黑体" w:cs="黑体"/>
          <w:kern w:val="0"/>
          <w:szCs w:val="20"/>
        </w:rPr>
        <w:t>5.3.</w:t>
      </w:r>
      <w:r>
        <w:rPr>
          <w:rFonts w:hint="eastAsia" w:ascii="黑体" w:hAnsi="黑体" w:eastAsia="黑体" w:cs="黑体"/>
          <w:kern w:val="0"/>
          <w:szCs w:val="20"/>
        </w:rPr>
        <w:t>3</w:t>
      </w:r>
      <w:r>
        <w:rPr>
          <w:rFonts w:ascii="黑体" w:hAnsi="黑体" w:eastAsia="黑体" w:cs="黑体"/>
          <w:kern w:val="0"/>
          <w:szCs w:val="20"/>
        </w:rPr>
        <w:t xml:space="preserve"> </w:t>
      </w:r>
      <w:r>
        <w:rPr>
          <w:rFonts w:hint="eastAsia" w:ascii="黑体" w:hAnsi="黑体" w:eastAsia="黑体" w:cs="黑体"/>
          <w:kern w:val="0"/>
          <w:szCs w:val="20"/>
        </w:rPr>
        <w:t>判定规则</w:t>
      </w:r>
    </w:p>
    <w:p>
      <w:pPr>
        <w:widowControl/>
        <w:autoSpaceDE w:val="0"/>
        <w:autoSpaceDN w:val="0"/>
        <w:ind w:firstLine="420"/>
        <w:rPr>
          <w:rFonts w:ascii="宋体" w:hAnsi="宋体" w:cs="宋体"/>
          <w:kern w:val="0"/>
          <w:szCs w:val="20"/>
        </w:rPr>
      </w:pPr>
      <w:r>
        <w:rPr>
          <w:rFonts w:hint="eastAsia" w:ascii="宋体" w:hAnsi="宋体" w:cs="宋体"/>
          <w:kern w:val="0"/>
          <w:szCs w:val="20"/>
        </w:rPr>
        <w:t>安全防护、安全信息均满足要求时，安全性检查结论为符合大纲要求；否则，安全性检查结论为不符合大纲要求。</w:t>
      </w:r>
    </w:p>
    <w:p>
      <w:pPr>
        <w:widowControl/>
        <w:autoSpaceDE w:val="0"/>
        <w:autoSpaceDN w:val="0"/>
        <w:ind w:firstLine="420"/>
        <w:rPr>
          <w:rFonts w:ascii="宋体" w:hAnsi="宋体" w:cs="宋体"/>
          <w:kern w:val="0"/>
          <w:szCs w:val="20"/>
        </w:rPr>
      </w:pPr>
      <w:r>
        <w:rPr>
          <w:rFonts w:hint="eastAsia"/>
        </w:rPr>
        <w:t>安全性检查可采信具有资质的检验检测机构依据国家标准、行业标准、地方标准、团体标准或鉴定大纲出具的安全性检查报告</w:t>
      </w:r>
      <w:r>
        <w:rPr>
          <w:rFonts w:hint="eastAsia" w:hAnsi="宋体"/>
        </w:rPr>
        <w:t>。</w:t>
      </w:r>
    </w:p>
    <w:p>
      <w:pPr>
        <w:pStyle w:val="22"/>
        <w:spacing w:beforeLines="50" w:afterLines="50"/>
        <w:ind w:left="0"/>
        <w:rPr>
          <w:szCs w:val="22"/>
        </w:rPr>
      </w:pPr>
      <w:bookmarkStart w:id="41" w:name="_Toc7170190"/>
      <w:r>
        <w:rPr>
          <w:rFonts w:hint="eastAsia" w:ascii="黑体" w:hAnsi="黑体" w:eastAsia="黑体" w:cs="黑体"/>
        </w:rPr>
        <w:t>5.4适</w:t>
      </w:r>
      <w:r>
        <w:rPr>
          <w:rFonts w:hint="eastAsia" w:ascii="黑体" w:hAnsi="黑体" w:eastAsia="黑体" w:cs="宋体"/>
          <w:szCs w:val="22"/>
        </w:rPr>
        <w:t>用地区性能试验</w:t>
      </w:r>
      <w:bookmarkEnd w:id="41"/>
    </w:p>
    <w:p>
      <w:pPr>
        <w:pStyle w:val="23"/>
        <w:ind w:left="141" w:hanging="140" w:hangingChars="67"/>
      </w:pPr>
      <w:r>
        <w:rPr>
          <w:rFonts w:hint="eastAsia" w:ascii="黑体" w:hAnsi="黑体" w:eastAsia="黑体" w:cs="黑体"/>
        </w:rPr>
        <w:t>5.4.1</w:t>
      </w:r>
      <w:r>
        <w:rPr>
          <w:rFonts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</w:rPr>
        <w:t>试验条件</w:t>
      </w:r>
    </w:p>
    <w:p>
      <w:pPr>
        <w:pStyle w:val="18"/>
        <w:ind w:firstLine="42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应满足下列要求：</w:t>
      </w:r>
    </w:p>
    <w:p>
      <w:pPr>
        <w:pStyle w:val="18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int="eastAsia" w:ascii="黑体" w:hAnsi="宋体"/>
          <w:kern w:val="2"/>
          <w:szCs w:val="24"/>
        </w:rPr>
        <w:t>试验地应满足产品使用说明书规定的适用范围；</w:t>
      </w:r>
    </w:p>
    <w:p>
      <w:pPr>
        <w:pStyle w:val="18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int="eastAsia"/>
        </w:rPr>
        <w:t>选取测区长度3</w:t>
      </w:r>
      <w:r>
        <w:t>0m</w:t>
      </w:r>
      <w:r>
        <w:rPr>
          <w:rFonts w:hint="eastAsia"/>
        </w:rPr>
        <w:t>，测区前和测区后应有不少于</w:t>
      </w:r>
      <w:r>
        <w:t>10m</w:t>
      </w:r>
      <w:r>
        <w:rPr>
          <w:rFonts w:hint="eastAsia"/>
        </w:rPr>
        <w:t>的作业稳定区，宽度应不少于2个工作幅宽；</w:t>
      </w:r>
    </w:p>
    <w:p>
      <w:pPr>
        <w:pStyle w:val="18"/>
        <w:numPr>
          <w:ilvl w:val="0"/>
          <w:numId w:val="6"/>
        </w:numPr>
        <w:ind w:firstLine="420"/>
        <w:rPr>
          <w:rFonts w:hAnsi="宋体" w:cs="宋体"/>
          <w:kern w:val="2"/>
          <w:szCs w:val="24"/>
        </w:rPr>
      </w:pPr>
      <w:r>
        <w:rPr>
          <w:rFonts w:hint="eastAsia" w:hAnsi="宋体" w:cs="宋体"/>
          <w:kern w:val="2"/>
          <w:szCs w:val="24"/>
        </w:rPr>
        <w:t>试验前记录并测量土壤质地、地表土壤硬度、地表秸秆及杂草覆盖单位面积质量、垄距、垄高，采用五点法进行测量；</w:t>
      </w:r>
    </w:p>
    <w:p>
      <w:pPr>
        <w:pStyle w:val="18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Ansi="宋体" w:cs="宋体"/>
          <w:szCs w:val="21"/>
        </w:rPr>
        <w:t>根</w:t>
      </w:r>
      <w:r>
        <w:rPr>
          <w:rFonts w:hint="eastAsia" w:ascii="黑体" w:hAnsi="宋体"/>
          <w:kern w:val="2"/>
          <w:szCs w:val="24"/>
        </w:rPr>
        <w:t>据使用说明书规定的配套动力范围, 选择功率不大于</w:t>
      </w:r>
      <w:r>
        <w:rPr>
          <w:rFonts w:hint="eastAsia" w:hAnsi="宋体" w:cs="宋体"/>
          <w:kern w:val="2"/>
          <w:szCs w:val="24"/>
        </w:rPr>
        <w:t>80%</w:t>
      </w:r>
      <w:r>
        <w:rPr>
          <w:rFonts w:hint="eastAsia" w:ascii="黑体" w:hAnsi="宋体"/>
          <w:kern w:val="2"/>
          <w:szCs w:val="24"/>
        </w:rPr>
        <w:t>上限值的试验用拖拉机,若最小功率大 于上限</w:t>
      </w:r>
      <w:r>
        <w:rPr>
          <w:rFonts w:hint="eastAsia" w:hAnsi="宋体" w:cs="宋体"/>
          <w:kern w:val="2"/>
          <w:szCs w:val="24"/>
        </w:rPr>
        <w:t>值80%时,选择</w:t>
      </w:r>
      <w:r>
        <w:rPr>
          <w:rFonts w:hint="eastAsia" w:ascii="黑体" w:hAnsi="宋体"/>
          <w:kern w:val="2"/>
          <w:szCs w:val="24"/>
        </w:rPr>
        <w:t>最小功率为配套动力。试验样机和拖拉机的技术状态符合说明书要求；</w:t>
      </w:r>
    </w:p>
    <w:p>
      <w:pPr>
        <w:pStyle w:val="18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int="eastAsia"/>
        </w:rPr>
        <w:t>试验时</w:t>
      </w:r>
      <w:r>
        <w:rPr>
          <w:rFonts w:hint="eastAsia" w:hAnsi="宋体"/>
        </w:rPr>
        <w:t>机具通过测区时</w:t>
      </w:r>
      <w:r>
        <w:rPr>
          <w:rFonts w:hint="eastAsia"/>
        </w:rPr>
        <w:t>的作业速度应符合产品使用说明书的规定。</w:t>
      </w:r>
    </w:p>
    <w:p>
      <w:pPr>
        <w:pStyle w:val="23"/>
        <w:ind w:left="141" w:hanging="140" w:hangingChars="67"/>
        <w:rPr>
          <w:rFonts w:ascii="黑体" w:hAnsi="黑体" w:eastAsia="黑体" w:cs="黑体"/>
        </w:rPr>
      </w:pPr>
      <w:bookmarkStart w:id="42" w:name="_Toc400633565"/>
      <w:bookmarkStart w:id="43" w:name="_Toc465764489"/>
      <w:r>
        <w:rPr>
          <w:rFonts w:hint="eastAsia" w:ascii="黑体" w:hAnsi="黑体" w:eastAsia="黑体" w:cs="黑体"/>
        </w:rPr>
        <w:t>5.4.2试验方法</w:t>
      </w:r>
    </w:p>
    <w:p>
      <w:pPr>
        <w:pStyle w:val="27"/>
        <w:ind w:left="991" w:hanging="991" w:hangingChars="472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5.4.2.1耕作深度稳定性</w:t>
      </w:r>
    </w:p>
    <w:p>
      <w:pPr>
        <w:pStyle w:val="18"/>
        <w:ind w:firstLine="420"/>
      </w:pPr>
      <w:r>
        <w:rPr>
          <w:rFonts w:hint="eastAsia"/>
        </w:rPr>
        <w:t>在测区内进行往返作业二个行程，每个行程沿机组前进方向每条（带）隔</w:t>
      </w:r>
      <w:r>
        <w:t>2m</w:t>
      </w:r>
      <w:r>
        <w:rPr>
          <w:rFonts w:hint="eastAsia"/>
        </w:rPr>
        <w:t>测定</w:t>
      </w:r>
      <w:r>
        <w:t>1</w:t>
      </w:r>
      <w:r>
        <w:rPr>
          <w:rFonts w:hint="eastAsia"/>
        </w:rPr>
        <w:t>点，每行程每条（带）测</w:t>
      </w:r>
      <w:r>
        <w:t>10</w:t>
      </w:r>
      <w:r>
        <w:rPr>
          <w:rFonts w:hint="eastAsia"/>
        </w:rPr>
        <w:t>点，多条（带）耕作机作业后选</w:t>
      </w:r>
      <w:r>
        <w:t>2</w:t>
      </w:r>
      <w:r>
        <w:rPr>
          <w:rFonts w:hint="eastAsia"/>
        </w:rPr>
        <w:t>个条（带）进行测量：</w:t>
      </w:r>
    </w:p>
    <w:p>
      <w:pPr>
        <w:pStyle w:val="18"/>
        <w:numPr>
          <w:ilvl w:val="0"/>
          <w:numId w:val="7"/>
        </w:numPr>
        <w:ind w:firstLine="420"/>
      </w:pPr>
      <w:r>
        <w:rPr>
          <w:rFonts w:hint="eastAsia"/>
        </w:rPr>
        <w:t>平均耕深</w:t>
      </w:r>
    </w:p>
    <w:p>
      <w:pPr>
        <w:pStyle w:val="18"/>
        <w:ind w:firstLine="420"/>
      </w:pPr>
      <w:r>
        <w:rPr>
          <w:rFonts w:hint="eastAsia"/>
        </w:rPr>
        <w:t>测量地表未耕地面至耕作底层的距离，按式（</w:t>
      </w:r>
      <w:r>
        <w:t>1</w:t>
      </w:r>
      <w:r>
        <w:rPr>
          <w:rFonts w:hint="eastAsia"/>
        </w:rPr>
        <w:t>）计算平均值。</w:t>
      </w:r>
    </w:p>
    <w:p>
      <w:pPr>
        <w:pStyle w:val="18"/>
        <w:ind w:firstLine="0" w:firstLineChars="0"/>
        <w:jc w:val="center"/>
        <w:rPr>
          <w:rFonts w:hAnsi="宋体" w:cs="宋体"/>
        </w:rPr>
      </w:pPr>
      <w:r>
        <w:t xml:space="preserve">                                    </w:t>
      </w:r>
      <w:r>
        <w:rPr>
          <w:position w:val="-24"/>
        </w:rPr>
        <w:object>
          <v:shape id="_x0000_i1025" o:spt="75" type="#_x0000_t75" style="height:47.35pt;width:65.0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s" ShapeID="_x0000_i1025" DrawAspect="Content" ObjectID="_1468075725" r:id="rId15">
            <o:LockedField>false</o:LockedField>
          </o:OLEObject>
        </w:object>
      </w:r>
      <w:r>
        <w:rPr>
          <w:rFonts w:hint="eastAsia" w:hAnsi="宋体" w:cs="宋体"/>
        </w:rPr>
        <w:t>………………………………………………（</w:t>
      </w:r>
      <w:r>
        <w:rPr>
          <w:rFonts w:hAnsi="宋体" w:cs="宋体"/>
        </w:rPr>
        <w:t>1</w:t>
      </w:r>
      <w:r>
        <w:rPr>
          <w:rFonts w:hint="eastAsia" w:hAnsi="宋体" w:cs="宋体"/>
        </w:rPr>
        <w:t>）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int="eastAsia" w:hAnsi="宋体" w:cs="宋体"/>
        </w:rPr>
        <w:t>式中：</w:t>
      </w:r>
    </w:p>
    <w:p>
      <w:pPr>
        <w:pStyle w:val="18"/>
        <w:ind w:firstLine="499" w:firstLineChars="238"/>
        <w:rPr>
          <w:rFonts w:hAnsi="宋体" w:cs="宋体"/>
        </w:rPr>
      </w:pPr>
      <w:r>
        <w:rPr>
          <w:rFonts w:hAnsi="宋体" w:cs="宋体"/>
          <w:position w:val="-6"/>
        </w:rPr>
        <w:object>
          <v:shape id="_x0000_i1026" o:spt="75" type="#_x0000_t75" style="height:10.75pt;width:10.7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s" ShapeID="_x0000_i1026" DrawAspect="Content" ObjectID="_1468075726" r:id="rId17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平均耕深，单位为厘米（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）；</w:t>
      </w:r>
    </w:p>
    <w:p>
      <w:pPr>
        <w:pStyle w:val="18"/>
        <w:ind w:firstLine="420"/>
        <w:rPr>
          <w:rFonts w:hAnsi="宋体" w:cs="宋体"/>
        </w:rPr>
      </w:pPr>
      <w:r>
        <w:rPr>
          <w:rFonts w:hAnsi="宋体" w:cs="宋体"/>
        </w:rPr>
        <w:t xml:space="preserve"> </w:t>
      </w:r>
      <w:r>
        <w:rPr>
          <w:rFonts w:hAnsi="宋体" w:cs="宋体"/>
          <w:position w:val="-12"/>
        </w:rPr>
        <w:object>
          <v:shape id="_x0000_i1027" o:spt="75" type="#_x0000_t75" style="height:18.3pt;width:12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s" ShapeID="_x0000_i1027" DrawAspect="Content" ObjectID="_1468075727" r:id="rId19">
            <o:LockedField>false</o:LockedField>
          </o:OLEObject>
        </w:object>
      </w:r>
      <w:r>
        <w:rPr>
          <w:rFonts w:hAnsi="宋体" w:cs="宋体"/>
        </w:rPr>
        <w:t>-</w:t>
      </w:r>
      <w:r>
        <w:rPr>
          <w:rFonts w:hAnsi="宋体" w:cs="宋体"/>
          <w:szCs w:val="21"/>
        </w:rPr>
        <w:t>第i个点的耕深值</w:t>
      </w:r>
      <w:r>
        <w:rPr>
          <w:rFonts w:hint="eastAsia" w:hAnsi="宋体" w:cs="宋体"/>
          <w:szCs w:val="21"/>
        </w:rPr>
        <w:t>，单位为厘米</w:t>
      </w:r>
      <w:r>
        <w:rPr>
          <w:rFonts w:hint="eastAsia" w:hAnsi="宋体" w:cs="宋体"/>
        </w:rPr>
        <w:t>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）；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Ansi="宋体" w:cs="宋体"/>
        </w:rPr>
        <w:t xml:space="preserve"> </w:t>
      </w:r>
      <w:r>
        <w:rPr>
          <w:rFonts w:hAnsi="宋体" w:cs="宋体"/>
          <w:position w:val="-6"/>
        </w:rPr>
        <w:object>
          <v:shape id="_x0000_i1028" o:spt="75" type="#_x0000_t75" style="height:10.75pt;width:10.7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s" ShapeID="_x0000_i1028" DrawAspect="Content" ObjectID="_1468075728" r:id="rId21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测点数。</w:t>
      </w:r>
    </w:p>
    <w:p>
      <w:pPr>
        <w:pStyle w:val="18"/>
        <w:numPr>
          <w:ilvl w:val="0"/>
          <w:numId w:val="7"/>
        </w:numPr>
        <w:ind w:firstLine="420"/>
        <w:rPr>
          <w:rFonts w:hAnsi="宋体" w:cs="宋体"/>
        </w:rPr>
      </w:pPr>
      <w:r>
        <w:rPr>
          <w:rFonts w:hint="eastAsia" w:hAnsi="宋体" w:cs="宋体"/>
        </w:rPr>
        <w:t>耕作深度稳定性</w:t>
      </w:r>
    </w:p>
    <w:p>
      <w:pPr>
        <w:pStyle w:val="18"/>
        <w:ind w:left="420" w:leftChars="200" w:firstLine="0" w:firstLineChars="0"/>
        <w:rPr>
          <w:rFonts w:hAnsi="宋体" w:cs="宋体"/>
        </w:rPr>
      </w:pPr>
      <w:r>
        <w:rPr>
          <w:rFonts w:hint="eastAsia" w:hAnsi="宋体" w:cs="宋体"/>
        </w:rPr>
        <w:t>按式（</w:t>
      </w:r>
      <w:r>
        <w:rPr>
          <w:rFonts w:hAnsi="宋体" w:cs="宋体"/>
        </w:rPr>
        <w:t>2</w:t>
      </w:r>
      <w:r>
        <w:rPr>
          <w:rFonts w:hint="eastAsia" w:hAnsi="宋体" w:cs="宋体"/>
        </w:rPr>
        <w:t>）、（</w:t>
      </w:r>
      <w:r>
        <w:rPr>
          <w:rFonts w:hAnsi="宋体" w:cs="宋体"/>
        </w:rPr>
        <w:t>3</w:t>
      </w:r>
      <w:r>
        <w:rPr>
          <w:rFonts w:hint="eastAsia" w:hAnsi="宋体" w:cs="宋体"/>
        </w:rPr>
        <w:t>）、（</w:t>
      </w:r>
      <w:r>
        <w:rPr>
          <w:rFonts w:hAnsi="宋体" w:cs="宋体"/>
        </w:rPr>
        <w:t>4</w:t>
      </w:r>
      <w:r>
        <w:rPr>
          <w:rFonts w:hint="eastAsia" w:hAnsi="宋体" w:cs="宋体"/>
        </w:rPr>
        <w:t>）进行计算。</w:t>
      </w:r>
    </w:p>
    <w:p>
      <w:pPr>
        <w:pStyle w:val="18"/>
        <w:ind w:left="420" w:leftChars="200" w:firstLine="0" w:firstLineChars="0"/>
        <w:jc w:val="center"/>
        <w:rPr>
          <w:rFonts w:hAnsi="宋体" w:cs="宋体"/>
        </w:rPr>
      </w:pPr>
      <w:r>
        <w:t xml:space="preserve">                              </w:t>
      </w:r>
      <w:r>
        <w:rPr>
          <w:position w:val="-26"/>
        </w:rPr>
        <w:object>
          <v:shape id="_x0000_i1029" o:spt="75" type="#_x0000_t75" style="height:53.05pt;width:99.8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s" ShapeID="_x0000_i1029" DrawAspect="Content" ObjectID="_1468075729" r:id="rId23">
            <o:LockedField>false</o:LockedField>
          </o:OLEObject>
        </w:object>
      </w:r>
      <w:r>
        <w:t xml:space="preserve">  </w:t>
      </w:r>
      <w:r>
        <w:rPr>
          <w:rFonts w:hint="eastAsia" w:hAnsi="宋体" w:cs="宋体"/>
        </w:rPr>
        <w:t>…………………………………（</w:t>
      </w:r>
      <w:r>
        <w:rPr>
          <w:rFonts w:hAnsi="宋体" w:cs="宋体"/>
        </w:rPr>
        <w:t>2</w:t>
      </w:r>
      <w:r>
        <w:rPr>
          <w:rFonts w:hint="eastAsia" w:hAnsi="宋体" w:cs="宋体"/>
        </w:rPr>
        <w:t>）</w:t>
      </w:r>
    </w:p>
    <w:p>
      <w:pPr>
        <w:pStyle w:val="18"/>
        <w:tabs>
          <w:tab w:val="center" w:pos="4201"/>
          <w:tab w:val="right" w:leader="dot" w:pos="9298"/>
        </w:tabs>
        <w:ind w:firstLine="420"/>
      </w:pPr>
      <w:r>
        <w:rPr>
          <w:rFonts w:hAnsi="宋体" w:cs="宋体"/>
        </w:rPr>
        <w:t xml:space="preserve"> </w:t>
      </w:r>
      <w:r>
        <w:rPr>
          <w:rFonts w:hint="eastAsia"/>
        </w:rPr>
        <w:t>式中：</w:t>
      </w:r>
    </w:p>
    <w:p>
      <w:pPr>
        <w:pStyle w:val="18"/>
        <w:tabs>
          <w:tab w:val="center" w:pos="4201"/>
          <w:tab w:val="right" w:leader="dot" w:pos="9298"/>
        </w:tabs>
        <w:ind w:firstLine="420"/>
      </w:pPr>
      <w:r>
        <w:rPr>
          <w:position w:val="-6"/>
        </w:rPr>
        <w:object>
          <v:shape id="_x0000_i1030" o:spt="75" type="#_x0000_t75" style="height:13.25pt;width:11.3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s" ShapeID="_x0000_i1030" DrawAspect="Content" ObjectID="_1468075730" r:id="rId25">
            <o:LockedField>false</o:LockedField>
          </o:OLEObject>
        </w:object>
      </w:r>
      <w:r>
        <w:t>——</w:t>
      </w:r>
      <w:r>
        <w:rPr>
          <w:rFonts w:hint="eastAsia"/>
        </w:rPr>
        <w:t>耕深标准差，单位为厘米（</w:t>
      </w:r>
      <w:r>
        <w:t>cm</w:t>
      </w:r>
      <w:r>
        <w:rPr>
          <w:rFonts w:hint="eastAsia"/>
        </w:rPr>
        <w:t>）。</w:t>
      </w:r>
    </w:p>
    <w:p>
      <w:pPr>
        <w:pStyle w:val="18"/>
        <w:ind w:left="420" w:leftChars="200" w:firstLine="0" w:firstLineChars="0"/>
        <w:rPr>
          <w:rFonts w:hAnsi="宋体" w:cs="宋体"/>
        </w:rPr>
      </w:pPr>
    </w:p>
    <w:p>
      <w:pPr>
        <w:pStyle w:val="18"/>
        <w:ind w:left="420" w:leftChars="200" w:firstLine="0" w:firstLineChars="0"/>
        <w:jc w:val="center"/>
        <w:rPr>
          <w:rFonts w:hAnsi="宋体" w:cs="宋体"/>
        </w:rPr>
      </w:pPr>
      <w:r>
        <w:t xml:space="preserve">                               </w:t>
      </w:r>
      <w:r>
        <w:rPr>
          <w:position w:val="-24"/>
        </w:rPr>
        <w:object>
          <v:shape id="_x0000_i1031" o:spt="75" type="#_x0000_t75" style="height:32.85pt;width:76.4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s" ShapeID="_x0000_i1031" DrawAspect="Content" ObjectID="_1468075731" r:id="rId27">
            <o:LockedField>false</o:LockedField>
          </o:OLEObject>
        </w:object>
      </w:r>
      <w:r>
        <w:t xml:space="preserve">  </w:t>
      </w:r>
      <w:r>
        <w:rPr>
          <w:rFonts w:hint="eastAsia" w:hAnsi="宋体" w:cs="宋体"/>
        </w:rPr>
        <w:t>………………………………………（</w:t>
      </w:r>
      <w:r>
        <w:rPr>
          <w:rFonts w:hAnsi="宋体" w:cs="宋体"/>
        </w:rPr>
        <w:t>3</w:t>
      </w:r>
      <w:r>
        <w:rPr>
          <w:rFonts w:hint="eastAsia" w:hAnsi="宋体" w:cs="宋体"/>
        </w:rPr>
        <w:t>）</w:t>
      </w:r>
    </w:p>
    <w:p>
      <w:pPr>
        <w:pStyle w:val="18"/>
        <w:tabs>
          <w:tab w:val="center" w:pos="4201"/>
          <w:tab w:val="right" w:leader="dot" w:pos="9298"/>
        </w:tabs>
        <w:ind w:firstLine="420"/>
      </w:pPr>
      <w:r>
        <w:rPr>
          <w:rFonts w:hAnsi="宋体" w:cs="宋体"/>
        </w:rPr>
        <w:t xml:space="preserve"> </w:t>
      </w:r>
      <w:r>
        <w:rPr>
          <w:rFonts w:hint="eastAsia"/>
        </w:rPr>
        <w:t>式中：</w:t>
      </w:r>
    </w:p>
    <w:p>
      <w:pPr>
        <w:pStyle w:val="18"/>
        <w:tabs>
          <w:tab w:val="center" w:pos="4201"/>
          <w:tab w:val="right" w:leader="dot" w:pos="9298"/>
        </w:tabs>
        <w:ind w:firstLine="420"/>
      </w:pPr>
      <w:r>
        <w:rPr>
          <w:position w:val="-6"/>
        </w:rPr>
        <w:object>
          <v:shape id="_x0000_i1032" o:spt="75" type="#_x0000_t75" style="height:15.15pt;width:12.6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s" ShapeID="_x0000_i1032" DrawAspect="Content" ObjectID="_1468075732" r:id="rId29">
            <o:LockedField>false</o:LockedField>
          </o:OLEObject>
        </w:object>
      </w:r>
      <w:r>
        <w:t>——</w:t>
      </w:r>
      <w:r>
        <w:rPr>
          <w:rFonts w:hint="eastAsia"/>
        </w:rPr>
        <w:t>耕深变异系数。</w:t>
      </w:r>
    </w:p>
    <w:p>
      <w:pPr>
        <w:pStyle w:val="18"/>
        <w:ind w:left="420" w:leftChars="200" w:firstLine="0" w:firstLineChars="0"/>
        <w:jc w:val="center"/>
        <w:rPr>
          <w:rFonts w:hAnsi="宋体" w:cs="宋体"/>
        </w:rPr>
      </w:pPr>
      <w:r>
        <w:t xml:space="preserve">                               </w:t>
      </w:r>
      <w:r>
        <w:rPr>
          <w:position w:val="-6"/>
        </w:rPr>
        <w:object>
          <v:shape id="_x0000_i1033" o:spt="75" type="#_x0000_t75" style="height:14.55pt;width:56.2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s" ShapeID="_x0000_i1033" DrawAspect="Content" ObjectID="_1468075733" r:id="rId31">
            <o:LockedField>false</o:LockedField>
          </o:OLEObject>
        </w:object>
      </w:r>
      <w:r>
        <w:t xml:space="preserve"> </w:t>
      </w:r>
      <w:r>
        <w:rPr>
          <w:rFonts w:hint="eastAsia" w:hAnsi="宋体" w:cs="宋体"/>
        </w:rPr>
        <w:t>……………………………………………（</w:t>
      </w:r>
      <w:r>
        <w:rPr>
          <w:rFonts w:hAnsi="宋体" w:cs="宋体"/>
        </w:rPr>
        <w:t>4</w:t>
      </w:r>
      <w:r>
        <w:rPr>
          <w:rFonts w:hint="eastAsia" w:hAnsi="宋体" w:cs="宋体"/>
        </w:rPr>
        <w:t>）</w:t>
      </w:r>
    </w:p>
    <w:p>
      <w:pPr>
        <w:pStyle w:val="18"/>
        <w:ind w:left="420" w:leftChars="200" w:firstLine="0" w:firstLineChars="0"/>
        <w:rPr>
          <w:rFonts w:hAnsi="宋体" w:cs="宋体"/>
        </w:rPr>
      </w:pPr>
      <w:r>
        <w:rPr>
          <w:rFonts w:hint="eastAsia"/>
        </w:rPr>
        <w:t>式中：</w:t>
      </w:r>
    </w:p>
    <w:p>
      <w:pPr>
        <w:pStyle w:val="18"/>
        <w:tabs>
          <w:tab w:val="center" w:pos="4201"/>
          <w:tab w:val="right" w:leader="dot" w:pos="9298"/>
        </w:tabs>
        <w:ind w:firstLine="420"/>
      </w:pPr>
      <w:r>
        <w:rPr>
          <w:position w:val="-6"/>
        </w:rPr>
        <w:object>
          <v:shape id="_x0000_i1034" o:spt="75" type="#_x0000_t75" style="height:13.25pt;width:13.2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s" ShapeID="_x0000_i1034" DrawAspect="Content" ObjectID="_1468075734" r:id="rId33">
            <o:LockedField>false</o:LockedField>
          </o:OLEObject>
        </w:object>
      </w:r>
      <w:r>
        <w:t>——</w:t>
      </w:r>
      <w:r>
        <w:rPr>
          <w:rFonts w:hint="eastAsia"/>
        </w:rPr>
        <w:t>耕深稳定性系数。</w:t>
      </w:r>
    </w:p>
    <w:p>
      <w:pPr>
        <w:pStyle w:val="18"/>
        <w:ind w:firstLine="0" w:firstLineChars="0"/>
        <w:rPr>
          <w:rFonts w:hAnsi="宋体" w:cs="宋体"/>
        </w:rPr>
      </w:pPr>
    </w:p>
    <w:p>
      <w:pPr>
        <w:pStyle w:val="27"/>
        <w:ind w:left="991" w:hanging="991" w:hangingChars="472"/>
        <w:rPr>
          <w:rFonts w:ascii="黑体" w:hAnsi="黑体" w:eastAsia="黑体" w:cs="黑体"/>
          <w:szCs w:val="22"/>
        </w:rPr>
      </w:pPr>
      <w:r>
        <w:rPr>
          <w:rFonts w:hint="eastAsia" w:ascii="黑体" w:hAnsi="黑体" w:eastAsia="黑体" w:cs="黑体"/>
        </w:rPr>
        <w:t>5.4.2.2</w:t>
      </w:r>
      <w:r>
        <w:rPr>
          <w:rFonts w:hint="eastAsia" w:ascii="黑体" w:hAnsi="黑体" w:eastAsia="黑体" w:cs="黑体"/>
          <w:szCs w:val="22"/>
        </w:rPr>
        <w:t>单条（带）耕作宽度</w:t>
      </w:r>
    </w:p>
    <w:p>
      <w:pPr>
        <w:pStyle w:val="18"/>
        <w:ind w:firstLine="420"/>
      </w:pPr>
      <w:r>
        <w:rPr>
          <w:rFonts w:hint="eastAsia"/>
        </w:rPr>
        <w:t>按式（</w:t>
      </w:r>
      <w:r>
        <w:t>5</w:t>
      </w:r>
      <w:r>
        <w:rPr>
          <w:rFonts w:hint="eastAsia"/>
        </w:rPr>
        <w:t>）进行计算。</w:t>
      </w:r>
    </w:p>
    <w:p>
      <w:pPr>
        <w:pStyle w:val="18"/>
        <w:ind w:firstLine="420"/>
        <w:jc w:val="center"/>
        <w:rPr>
          <w:rFonts w:hAnsi="宋体" w:cs="宋体"/>
        </w:rPr>
      </w:pPr>
      <w:r>
        <w:rPr>
          <w:rFonts w:hAnsi="宋体" w:cs="宋体"/>
        </w:rPr>
        <w:t xml:space="preserve">                                 </w:t>
      </w:r>
      <w:r>
        <w:rPr>
          <w:rFonts w:hAnsi="宋体" w:cs="宋体"/>
          <w:position w:val="-24"/>
        </w:rPr>
        <w:object>
          <v:shape id="_x0000_i1035" o:spt="75" type="#_x0000_t75" style="height:48pt;width:49.2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s" ShapeID="_x0000_i1035" DrawAspect="Content" ObjectID="_1468075735" r:id="rId35">
            <o:LockedField>false</o:LockedField>
          </o:OLEObject>
        </w:object>
      </w:r>
      <w:r>
        <w:rPr>
          <w:rFonts w:hint="eastAsia" w:hAnsi="宋体" w:cs="宋体"/>
        </w:rPr>
        <w:t>………………………………………………（</w:t>
      </w:r>
      <w:r>
        <w:rPr>
          <w:rFonts w:hAnsi="宋体" w:cs="宋体"/>
        </w:rPr>
        <w:t>5</w:t>
      </w:r>
      <w:r>
        <w:rPr>
          <w:rFonts w:hint="eastAsia" w:hAnsi="宋体" w:cs="宋体"/>
        </w:rPr>
        <w:t>）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int="eastAsia" w:hAnsi="宋体" w:cs="宋体"/>
        </w:rPr>
        <w:t>式中：</w:t>
      </w:r>
      <w:r>
        <w:rPr>
          <w:rFonts w:hAnsi="宋体" w:cs="宋体"/>
          <w:position w:val="-4"/>
        </w:rPr>
        <w:object>
          <v:shape id="_x0000_i1036" o:spt="75" type="#_x0000_t75" style="height:13.25pt;width:10.7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s" ShapeID="_x0000_i1036" DrawAspect="Content" ObjectID="_1468075736" r:id="rId37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单条（带）耕作宽度平均值，单位为厘米（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）；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Ansi="宋体" w:cs="宋体"/>
        </w:rPr>
        <w:t xml:space="preserve">      </w:t>
      </w:r>
      <w:r>
        <w:rPr>
          <w:rFonts w:hAnsi="宋体" w:cs="宋体"/>
          <w:position w:val="-12"/>
        </w:rPr>
        <w:object>
          <v:shape id="_x0000_i1037" o:spt="75" type="#_x0000_t75" style="height:18.3pt;width:13.2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s" ShapeID="_x0000_i1037" DrawAspect="Content" ObjectID="_1468075737" r:id="rId39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Ansi="宋体" w:cs="宋体"/>
          <w:szCs w:val="21"/>
        </w:rPr>
        <w:t>第i个点的</w:t>
      </w:r>
      <w:r>
        <w:rPr>
          <w:rFonts w:hint="eastAsia" w:hAnsi="宋体" w:cs="宋体"/>
        </w:rPr>
        <w:t>工作宽度，单位为厘米（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）；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Ansi="宋体" w:cs="宋体"/>
        </w:rPr>
        <w:t xml:space="preserve">      </w:t>
      </w:r>
      <w:r>
        <w:rPr>
          <w:rFonts w:hAnsi="宋体" w:cs="宋体"/>
          <w:position w:val="-6"/>
        </w:rPr>
        <w:object>
          <v:shape id="_x0000_i1038" o:spt="75" type="#_x0000_t75" style="height:10.75pt;width:10.7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s" ShapeID="_x0000_i1038" DrawAspect="Content" ObjectID="_1468075738" r:id="rId41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测点数。</w:t>
      </w:r>
    </w:p>
    <w:p>
      <w:pPr>
        <w:pStyle w:val="27"/>
        <w:ind w:left="991" w:hanging="991" w:hangingChars="472"/>
        <w:rPr>
          <w:rFonts w:ascii="黑体" w:hAnsi="黑体" w:eastAsia="黑体" w:cs="黑体"/>
          <w:szCs w:val="22"/>
        </w:rPr>
      </w:pPr>
      <w:r>
        <w:rPr>
          <w:rFonts w:hint="eastAsia" w:ascii="黑体" w:hAnsi="黑体" w:eastAsia="黑体" w:cs="黑体"/>
        </w:rPr>
        <w:t>5.4.2.3</w:t>
      </w:r>
      <w:r>
        <w:rPr>
          <w:rFonts w:hint="eastAsia" w:ascii="黑体" w:hAnsi="黑体" w:eastAsia="黑体" w:cs="黑体"/>
          <w:szCs w:val="22"/>
        </w:rPr>
        <w:t>秸秆清除率</w:t>
      </w:r>
    </w:p>
    <w:p>
      <w:pPr>
        <w:pStyle w:val="18"/>
        <w:ind w:firstLine="420"/>
      </w:pPr>
      <w:r>
        <w:rPr>
          <w:rFonts w:hint="eastAsia"/>
        </w:rPr>
        <w:t>沿耕作机前进方向随机选取</w:t>
      </w:r>
      <w:r>
        <w:t>5m</w:t>
      </w:r>
      <w:r>
        <w:rPr>
          <w:rFonts w:hint="eastAsia"/>
        </w:rPr>
        <w:t>长的测区，多条（带）耕作机选</w:t>
      </w:r>
      <w:r>
        <w:t>2</w:t>
      </w:r>
      <w:r>
        <w:rPr>
          <w:rFonts w:hint="eastAsia"/>
        </w:rPr>
        <w:t>个条（带）进行测量，捡出测区内未被清除的秸秆及杂草并称其质量，按式（</w:t>
      </w:r>
      <w:r>
        <w:t>6</w:t>
      </w:r>
      <w:r>
        <w:rPr>
          <w:rFonts w:hint="eastAsia"/>
        </w:rPr>
        <w:t>）计算</w:t>
      </w:r>
      <w:r>
        <w:rPr>
          <w:rFonts w:hint="eastAsia" w:hAnsi="宋体"/>
        </w:rPr>
        <w:t>秸秆清除率，</w:t>
      </w:r>
      <w:r>
        <w:rPr>
          <w:rFonts w:hint="eastAsia"/>
        </w:rPr>
        <w:t>多条（带）耕作机取</w:t>
      </w:r>
      <w:r>
        <w:t>2</w:t>
      </w:r>
      <w:r>
        <w:rPr>
          <w:rFonts w:hint="eastAsia"/>
        </w:rPr>
        <w:t>个条（带）</w:t>
      </w:r>
      <w:r>
        <w:rPr>
          <w:rFonts w:hint="eastAsia" w:hAnsi="宋体"/>
        </w:rPr>
        <w:t>结果</w:t>
      </w:r>
      <w:r>
        <w:rPr>
          <w:rFonts w:hint="eastAsia"/>
        </w:rPr>
        <w:t>取平均值。</w:t>
      </w:r>
    </w:p>
    <w:p>
      <w:pPr>
        <w:pStyle w:val="18"/>
        <w:ind w:firstLine="420"/>
        <w:jc w:val="right"/>
        <w:rPr>
          <w:rFonts w:hAnsi="宋体" w:cs="宋体"/>
        </w:rPr>
      </w:pPr>
      <w:r>
        <w:t xml:space="preserve">                                 </w:t>
      </w:r>
      <w:r>
        <w:rPr>
          <w:color w:val="C00000"/>
          <w:position w:val="-24"/>
        </w:rPr>
        <w:object>
          <v:shape id="_x0000_i1039" o:spt="75" type="#_x0000_t75" style="height:32.2pt;width:126.9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s" ShapeID="_x0000_i1039" DrawAspect="Content" ObjectID="_1468075739" r:id="rId42">
            <o:LockedField>false</o:LockedField>
          </o:OLEObject>
        </w:object>
      </w:r>
      <w:r>
        <w:rPr>
          <w:rFonts w:hint="eastAsia" w:hAnsi="宋体" w:cs="宋体"/>
        </w:rPr>
        <w:t>……………………………………（</w:t>
      </w:r>
      <w:r>
        <w:rPr>
          <w:rFonts w:hAnsi="宋体" w:cs="宋体"/>
        </w:rPr>
        <w:t>6</w:t>
      </w:r>
      <w:r>
        <w:rPr>
          <w:rFonts w:hint="eastAsia" w:hAnsi="宋体" w:cs="宋体"/>
        </w:rPr>
        <w:t>）</w:t>
      </w:r>
    </w:p>
    <w:p>
      <w:pPr>
        <w:pStyle w:val="18"/>
        <w:ind w:firstLine="420"/>
        <w:rPr>
          <w:rFonts w:hAnsi="宋体"/>
        </w:rPr>
      </w:pPr>
      <w:r>
        <w:rPr>
          <w:rFonts w:hint="eastAsia" w:hAnsi="宋体"/>
        </w:rPr>
        <w:t>式中：</w:t>
      </w:r>
    </w:p>
    <w:p>
      <w:pPr>
        <w:pStyle w:val="18"/>
        <w:ind w:firstLine="420"/>
        <w:rPr>
          <w:rFonts w:hAnsi="宋体"/>
        </w:rPr>
      </w:pPr>
      <w:r>
        <w:rPr>
          <w:rFonts w:hAnsi="宋体"/>
          <w:position w:val="-6"/>
        </w:rPr>
        <w:object>
          <v:shape id="_x0000_i1040" o:spt="75" type="#_x0000_t75" style="height:15.8pt;width:12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s" ShapeID="_x0000_i1040" DrawAspect="Content" ObjectID="_1468075740" r:id="rId44">
            <o:LockedField>false</o:LockedField>
          </o:OLEObject>
        </w:object>
      </w:r>
      <w:r>
        <w:rPr>
          <w:rFonts w:hAnsi="宋体"/>
        </w:rPr>
        <w:t>-</w:t>
      </w:r>
      <w:r>
        <w:rPr>
          <w:rFonts w:hint="eastAsia" w:hAnsi="宋体"/>
        </w:rPr>
        <w:t>秸秆清除率</w:t>
      </w:r>
      <w:r>
        <w:rPr>
          <w:rFonts w:hAnsi="宋体"/>
        </w:rPr>
        <w:t>,</w:t>
      </w:r>
      <w:r>
        <w:rPr>
          <w:rFonts w:hint="eastAsia" w:hAnsi="宋体"/>
        </w:rPr>
        <w:t>以百分数表示；</w:t>
      </w:r>
    </w:p>
    <w:p>
      <w:pPr>
        <w:pStyle w:val="18"/>
        <w:ind w:firstLine="405" w:firstLineChars="193"/>
        <w:rPr>
          <w:rFonts w:hAnsi="宋体"/>
        </w:rPr>
      </w:pPr>
      <w:r>
        <w:rPr>
          <w:position w:val="-10"/>
        </w:rPr>
        <w:object>
          <v:shape id="_x0000_i1041" o:spt="75" type="#_x0000_t75" style="height:15.15pt;width:11.3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s" ShapeID="_x0000_i1041" DrawAspect="Content" ObjectID="_1468075741" r:id="rId46">
            <o:LockedField>false</o:LockedField>
          </o:OLEObject>
        </w:object>
      </w:r>
      <w:r>
        <w:rPr>
          <w:rFonts w:hAnsi="宋体"/>
        </w:rPr>
        <w:t>-</w:t>
      </w:r>
      <w:r>
        <w:rPr>
          <w:rFonts w:hint="eastAsia"/>
        </w:rPr>
        <w:t>测区内未被清除的秸秆及杂草质量，</w:t>
      </w:r>
      <w:r>
        <w:rPr>
          <w:rFonts w:hint="eastAsia" w:hAnsi="宋体"/>
        </w:rPr>
        <w:t>单位为克（</w:t>
      </w:r>
      <w:r>
        <w:rPr>
          <w:rFonts w:hAnsi="宋体"/>
        </w:rPr>
        <w:t>g</w:t>
      </w:r>
      <w:r>
        <w:rPr>
          <w:rFonts w:hint="eastAsia" w:hAnsi="宋体"/>
        </w:rPr>
        <w:t>）；</w:t>
      </w:r>
    </w:p>
    <w:p>
      <w:pPr>
        <w:pStyle w:val="18"/>
        <w:ind w:firstLine="0" w:firstLineChars="0"/>
        <w:rPr>
          <w:rFonts w:hAnsi="宋体"/>
          <w:color w:val="FF0000"/>
        </w:rPr>
      </w:pPr>
      <w:r>
        <w:rPr>
          <w:rFonts w:hAnsi="宋体"/>
        </w:rPr>
        <w:t xml:space="preserve">    </w:t>
      </w:r>
      <w:r>
        <w:rPr>
          <w:rFonts w:hAnsi="宋体"/>
          <w:position w:val="-6"/>
        </w:rPr>
        <w:object>
          <v:shape id="_x0000_i1042" o:spt="75" type="#_x0000_t75" style="height:15.8pt;width:15.8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s" ShapeID="_x0000_i1042" DrawAspect="Content" ObjectID="_1468075742" r:id="rId48">
            <o:LockedField>false</o:LockedField>
          </o:OLEObject>
        </w:object>
      </w:r>
      <w:r>
        <w:rPr>
          <w:rFonts w:hAnsi="宋体"/>
        </w:rPr>
        <w:t>-</w:t>
      </w:r>
      <w:r>
        <w:rPr>
          <w:rFonts w:hint="eastAsia" w:hAnsi="宋体"/>
        </w:rPr>
        <w:t>试验前</w:t>
      </w:r>
      <w:r>
        <w:rPr>
          <w:rFonts w:hint="eastAsia" w:hAnsi="宋体"/>
          <w:kern w:val="2"/>
        </w:rPr>
        <w:t>地表秸秆</w:t>
      </w:r>
      <w:r>
        <w:rPr>
          <w:rFonts w:hint="eastAsia"/>
        </w:rPr>
        <w:t>及杂草</w:t>
      </w:r>
      <w:r>
        <w:rPr>
          <w:rFonts w:hint="eastAsia" w:hAnsi="宋体"/>
          <w:kern w:val="2"/>
        </w:rPr>
        <w:t>覆盖单位面积质量</w:t>
      </w:r>
      <w:r>
        <w:rPr>
          <w:rFonts w:hint="eastAsia"/>
        </w:rPr>
        <w:t>，</w:t>
      </w:r>
      <w:r>
        <w:rPr>
          <w:rFonts w:hint="eastAsia" w:hAnsi="宋体"/>
        </w:rPr>
        <w:t>单位为克每平方厘米（</w:t>
      </w:r>
      <w:r>
        <w:rPr>
          <w:rFonts w:hAnsi="宋体"/>
        </w:rPr>
        <w:t>g/cm</w:t>
      </w:r>
      <w:r>
        <w:rPr>
          <w:rFonts w:hAnsi="宋体"/>
          <w:vertAlign w:val="superscript"/>
        </w:rPr>
        <w:t>2</w:t>
      </w:r>
      <w:r>
        <w:rPr>
          <w:rFonts w:hint="eastAsia" w:hAnsi="宋体"/>
        </w:rPr>
        <w:t>）。</w:t>
      </w:r>
    </w:p>
    <w:p>
      <w:pPr>
        <w:pStyle w:val="27"/>
        <w:ind w:left="991" w:hanging="991" w:hangingChars="472"/>
        <w:rPr>
          <w:rFonts w:ascii="黑体" w:hAnsi="黑体" w:eastAsia="黑体" w:cs="黑体"/>
          <w:szCs w:val="22"/>
        </w:rPr>
      </w:pPr>
      <w:r>
        <w:rPr>
          <w:rFonts w:hint="eastAsia" w:ascii="黑体" w:hAnsi="黑体" w:eastAsia="黑体" w:cs="黑体"/>
        </w:rPr>
        <w:t>5.4.2.4</w:t>
      </w:r>
      <w:r>
        <w:rPr>
          <w:rFonts w:hint="eastAsia" w:ascii="黑体" w:hAnsi="黑体" w:eastAsia="黑体" w:cs="黑体"/>
          <w:szCs w:val="22"/>
        </w:rPr>
        <w:t>深松深度</w:t>
      </w:r>
    </w:p>
    <w:p>
      <w:pPr>
        <w:pStyle w:val="18"/>
        <w:ind w:firstLine="420"/>
      </w:pPr>
      <w:r>
        <w:rPr>
          <w:rFonts w:hint="eastAsia" w:hAnsi="宋体"/>
        </w:rPr>
        <w:t>按</w:t>
      </w:r>
      <w:r>
        <w:rPr>
          <w:rFonts w:hAnsi="宋体"/>
        </w:rPr>
        <w:t>5.4.2.1</w:t>
      </w:r>
      <w:r>
        <w:rPr>
          <w:rFonts w:hint="eastAsia" w:hAnsi="宋体"/>
        </w:rPr>
        <w:t>的方法，</w:t>
      </w:r>
      <w:r>
        <w:rPr>
          <w:rFonts w:hint="eastAsia"/>
        </w:rPr>
        <w:t>测量地表未耕地面至深松铲沟底的距离，按式（</w:t>
      </w:r>
      <w:r>
        <w:t>7</w:t>
      </w:r>
      <w:r>
        <w:rPr>
          <w:rFonts w:hint="eastAsia"/>
        </w:rPr>
        <w:t>）计算平均值。</w:t>
      </w:r>
    </w:p>
    <w:p>
      <w:pPr>
        <w:pStyle w:val="18"/>
        <w:ind w:firstLine="0" w:firstLineChars="0"/>
        <w:jc w:val="center"/>
        <w:rPr>
          <w:rFonts w:hAnsi="宋体" w:cs="宋体"/>
        </w:rPr>
      </w:pPr>
      <w:r>
        <w:t xml:space="preserve">                                      </w:t>
      </w:r>
      <w:r>
        <w:rPr>
          <w:position w:val="-24"/>
        </w:rPr>
        <w:object>
          <v:shape id="_x0000_i1043" o:spt="75" type="#_x0000_t75" style="height:46.75pt;width:53.0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s" ShapeID="_x0000_i1043" DrawAspect="Content" ObjectID="_1468075743" r:id="rId50">
            <o:LockedField>false</o:LockedField>
          </o:OLEObject>
        </w:object>
      </w:r>
      <w:r>
        <w:rPr>
          <w:rFonts w:hint="eastAsia" w:hAnsi="宋体" w:cs="宋体"/>
        </w:rPr>
        <w:t>……………………………………………（</w:t>
      </w:r>
      <w:r>
        <w:rPr>
          <w:rFonts w:hAnsi="宋体" w:cs="宋体"/>
        </w:rPr>
        <w:t>7</w:t>
      </w:r>
      <w:r>
        <w:rPr>
          <w:rFonts w:hint="eastAsia" w:hAnsi="宋体" w:cs="宋体"/>
        </w:rPr>
        <w:t>）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int="eastAsia" w:hAnsi="宋体" w:cs="宋体"/>
        </w:rPr>
        <w:t>式中：</w:t>
      </w:r>
    </w:p>
    <w:p>
      <w:pPr>
        <w:pStyle w:val="18"/>
        <w:ind w:firstLine="420" w:firstLineChars="0"/>
        <w:rPr>
          <w:rFonts w:hAnsi="宋体" w:cs="宋体"/>
        </w:rPr>
      </w:pPr>
      <w:r>
        <w:rPr>
          <w:rFonts w:hAnsi="宋体" w:cs="宋体"/>
          <w:position w:val="-4"/>
        </w:rPr>
        <w:object>
          <v:shape id="_x0000_i1044" o:spt="75" type="#_x0000_t75" style="height:13.25pt;width:13.2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s" ShapeID="_x0000_i1044" DrawAspect="Content" ObjectID="_1468075744" r:id="rId52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深松深度，单位为厘米（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）；</w:t>
      </w:r>
    </w:p>
    <w:p>
      <w:pPr>
        <w:pStyle w:val="18"/>
        <w:ind w:firstLine="420"/>
      </w:pPr>
      <w:r>
        <w:rPr>
          <w:rFonts w:hAnsi="宋体" w:cs="宋体"/>
          <w:position w:val="-12"/>
        </w:rPr>
        <w:object>
          <v:shape id="_x0000_i1045" o:spt="75" type="#_x0000_t75" style="height:18.3pt;width:16.4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s" ShapeID="_x0000_i1045" DrawAspect="Content" ObjectID="_1468075745" r:id="rId54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Ansi="宋体" w:cs="宋体"/>
          <w:szCs w:val="21"/>
        </w:rPr>
        <w:t>第i个点的</w:t>
      </w:r>
      <w:r>
        <w:rPr>
          <w:rFonts w:hint="eastAsia" w:hAnsi="宋体" w:cs="宋体"/>
        </w:rPr>
        <w:t>深松深度，单位为厘米（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）。</w:t>
      </w:r>
    </w:p>
    <w:p>
      <w:pPr>
        <w:pStyle w:val="27"/>
        <w:ind w:left="991" w:hanging="991" w:hangingChars="472"/>
        <w:rPr>
          <w:rFonts w:ascii="黑体" w:hAnsi="黑体" w:eastAsia="黑体" w:cs="黑体"/>
          <w:szCs w:val="22"/>
        </w:rPr>
      </w:pPr>
      <w:r>
        <w:rPr>
          <w:rFonts w:hint="eastAsia" w:ascii="黑体" w:hAnsi="黑体" w:eastAsia="黑体" w:cs="黑体"/>
        </w:rPr>
        <w:t>5.4.2.5</w:t>
      </w:r>
      <w:r>
        <w:rPr>
          <w:rFonts w:hint="eastAsia" w:ascii="黑体" w:hAnsi="黑体" w:eastAsia="黑体" w:cs="黑体"/>
          <w:szCs w:val="22"/>
        </w:rPr>
        <w:t>动土率</w:t>
      </w:r>
    </w:p>
    <w:p>
      <w:pPr>
        <w:pStyle w:val="18"/>
        <w:ind w:firstLine="420"/>
      </w:pPr>
      <w:r>
        <w:rPr>
          <w:rFonts w:hint="eastAsia"/>
        </w:rPr>
        <w:t>在测量</w:t>
      </w:r>
      <w:r>
        <w:rPr>
          <w:rFonts w:hint="eastAsia" w:hAnsi="宋体"/>
        </w:rPr>
        <w:t>单条（带）耕作宽度的同时，测量该测点的工作幅宽，并计算平均值。</w:t>
      </w:r>
      <w:r>
        <w:rPr>
          <w:rFonts w:hint="eastAsia"/>
        </w:rPr>
        <w:t>按式（</w:t>
      </w:r>
      <w:r>
        <w:t>8</w:t>
      </w:r>
      <w:r>
        <w:rPr>
          <w:rFonts w:hint="eastAsia"/>
        </w:rPr>
        <w:t>）计算动土率。</w:t>
      </w:r>
    </w:p>
    <w:p>
      <w:pPr>
        <w:pStyle w:val="18"/>
        <w:ind w:firstLine="3990" w:firstLineChars="1900"/>
        <w:rPr>
          <w:rFonts w:hAnsi="宋体" w:cs="宋体"/>
        </w:rPr>
      </w:pPr>
      <w:r>
        <w:rPr>
          <w:rFonts w:hAnsi="宋体" w:cs="宋体"/>
          <w:position w:val="-24"/>
        </w:rPr>
        <w:object>
          <v:shape id="_x0000_i1046" o:spt="75" type="#_x0000_t75" style="height:30.3pt;width:80.8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s" ShapeID="_x0000_i1046" DrawAspect="Content" ObjectID="_1468075746" r:id="rId56">
            <o:LockedField>false</o:LockedField>
          </o:OLEObject>
        </w:object>
      </w:r>
      <w:r>
        <w:rPr>
          <w:rFonts w:hint="eastAsia" w:hAnsi="宋体" w:cs="宋体"/>
        </w:rPr>
        <w:t>……………………………………（</w:t>
      </w:r>
      <w:r>
        <w:rPr>
          <w:rFonts w:hAnsi="宋体" w:cs="宋体"/>
        </w:rPr>
        <w:t>8</w:t>
      </w:r>
      <w:r>
        <w:rPr>
          <w:rFonts w:hint="eastAsia" w:hAnsi="宋体" w:cs="宋体"/>
        </w:rPr>
        <w:t>）</w:t>
      </w:r>
    </w:p>
    <w:p>
      <w:pPr>
        <w:pStyle w:val="18"/>
        <w:spacing w:line="400" w:lineRule="exact"/>
        <w:ind w:firstLine="420" w:firstLineChars="0"/>
        <w:rPr>
          <w:rFonts w:hAnsi="宋体" w:cs="宋体"/>
        </w:rPr>
      </w:pPr>
      <w:r>
        <w:rPr>
          <w:rFonts w:hint="eastAsia" w:hAnsi="宋体" w:cs="宋体"/>
        </w:rPr>
        <w:t>式中：</w:t>
      </w:r>
    </w:p>
    <w:p>
      <w:pPr>
        <w:pStyle w:val="18"/>
        <w:spacing w:line="400" w:lineRule="exact"/>
        <w:ind w:firstLine="420" w:firstLineChars="0"/>
        <w:rPr>
          <w:rFonts w:hAnsi="宋体" w:cs="宋体"/>
        </w:rPr>
      </w:pPr>
      <w:r>
        <w:rPr>
          <w:rFonts w:hAnsi="宋体" w:cs="宋体"/>
          <w:position w:val="-4"/>
        </w:rPr>
        <w:object>
          <v:shape id="_x0000_i1047" o:spt="75" type="#_x0000_t75" style="height:12pt;width:12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s" ShapeID="_x0000_i1047" DrawAspect="Content" ObjectID="_1468075747" r:id="rId58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动土率；</w:t>
      </w:r>
    </w:p>
    <w:p>
      <w:pPr>
        <w:pStyle w:val="18"/>
        <w:spacing w:line="400" w:lineRule="exact"/>
        <w:ind w:firstLine="420"/>
        <w:rPr>
          <w:rFonts w:hAnsi="宋体" w:cs="宋体"/>
        </w:rPr>
      </w:pPr>
      <w:r>
        <w:rPr>
          <w:rFonts w:hAnsi="宋体" w:cs="宋体"/>
          <w:position w:val="-6"/>
        </w:rPr>
        <w:object>
          <v:shape id="_x0000_i1048" o:spt="75" type="#_x0000_t75" style="height:12.65pt;width:15.15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s" ShapeID="_x0000_i1048" DrawAspect="Content" ObjectID="_1468075748" r:id="rId60">
            <o:LockedField>false</o:LockedField>
          </o:OLEObject>
        </w:object>
      </w:r>
      <w:r>
        <w:rPr>
          <w:rFonts w:hAnsi="宋体" w:cs="宋体"/>
        </w:rPr>
        <w:t>- 2</w:t>
      </w:r>
      <w:r>
        <w:rPr>
          <w:rFonts w:hint="eastAsia" w:hAnsi="宋体" w:cs="宋体"/>
        </w:rPr>
        <w:t>行程耕作总条（带）数，条；</w:t>
      </w:r>
    </w:p>
    <w:p>
      <w:pPr>
        <w:pStyle w:val="18"/>
        <w:spacing w:line="400" w:lineRule="exact"/>
        <w:ind w:firstLine="420" w:firstLineChars="0"/>
        <w:rPr>
          <w:rFonts w:hAnsi="宋体" w:cs="宋体"/>
        </w:rPr>
      </w:pPr>
      <w:r>
        <w:rPr>
          <w:rFonts w:hAnsi="宋体" w:cs="宋体"/>
          <w:position w:val="-4"/>
        </w:rPr>
        <w:object>
          <v:shape id="_x0000_i1049" o:spt="75" type="#_x0000_t75" style="height:13.25pt;width:13.2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s" ShapeID="_x0000_i1049" DrawAspect="Content" ObjectID="_1468075749" r:id="rId62">
            <o:LockedField>false</o:LockedField>
          </o:OLEObject>
        </w:object>
      </w:r>
      <w:r>
        <w:rPr>
          <w:rFonts w:hAnsi="宋体" w:cs="宋体"/>
        </w:rPr>
        <w:t xml:space="preserve">- </w:t>
      </w:r>
      <w:r>
        <w:rPr>
          <w:rFonts w:hint="eastAsia" w:hAnsi="宋体" w:cs="宋体"/>
        </w:rPr>
        <w:t>工作幅宽，单位为厘米（</w:t>
      </w:r>
      <w:r>
        <w:rPr>
          <w:rFonts w:hAnsi="宋体" w:cs="宋体"/>
        </w:rPr>
        <w:t>cm</w:t>
      </w:r>
      <w:r>
        <w:rPr>
          <w:rFonts w:hint="eastAsia" w:hAnsi="宋体" w:cs="宋体"/>
        </w:rPr>
        <w:t>）。</w:t>
      </w:r>
    </w:p>
    <w:p>
      <w:pPr>
        <w:pStyle w:val="23"/>
        <w:ind w:left="141" w:hanging="140" w:hangingChars="67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5.4.3判定规则</w:t>
      </w:r>
    </w:p>
    <w:p>
      <w:pPr>
        <w:pStyle w:val="18"/>
        <w:ind w:firstLine="0" w:firstLineChars="0"/>
      </w:pPr>
      <w:r>
        <w:rPr>
          <w:rFonts w:ascii="黑体" w:hAnsi="黑体" w:eastAsia="黑体" w:cs="黑体"/>
        </w:rPr>
        <w:t>5.4.3.1</w:t>
      </w:r>
      <w:r>
        <w:t xml:space="preserve"> </w:t>
      </w:r>
      <w:r>
        <w:rPr>
          <w:rFonts w:hint="eastAsia"/>
        </w:rPr>
        <w:t>适用</w:t>
      </w:r>
      <w:r>
        <w:rPr>
          <w:rFonts w:hint="eastAsia" w:hAnsi="宋体"/>
        </w:rPr>
        <w:t>地区性能试验</w:t>
      </w:r>
      <w:r>
        <w:rPr>
          <w:rFonts w:hint="eastAsia"/>
        </w:rPr>
        <w:t>结果满足表</w:t>
      </w:r>
      <w:r>
        <w:t>2</w:t>
      </w:r>
      <w:r>
        <w:rPr>
          <w:rFonts w:hint="eastAsia"/>
        </w:rPr>
        <w:t>要求时，适用</w:t>
      </w:r>
      <w:r>
        <w:rPr>
          <w:rFonts w:hint="eastAsia" w:hAnsi="宋体"/>
        </w:rPr>
        <w:t>地区性能试验</w:t>
      </w:r>
      <w:r>
        <w:rPr>
          <w:rFonts w:hint="eastAsia"/>
        </w:rPr>
        <w:t>结论为在选定区域内符合大纲要求；否则，适用</w:t>
      </w:r>
      <w:r>
        <w:rPr>
          <w:rFonts w:hint="eastAsia" w:hAnsi="宋体"/>
        </w:rPr>
        <w:t>地区性能试验</w:t>
      </w:r>
      <w:r>
        <w:rPr>
          <w:rFonts w:hint="eastAsia"/>
        </w:rPr>
        <w:t>结论为不符合大纲要求。</w:t>
      </w:r>
    </w:p>
    <w:bookmarkEnd w:id="42"/>
    <w:bookmarkEnd w:id="43"/>
    <w:p>
      <w:pPr>
        <w:pStyle w:val="23"/>
        <w:tabs>
          <w:tab w:val="clear" w:pos="196"/>
        </w:tabs>
        <w:ind w:left="0"/>
        <w:rPr>
          <w:rFonts w:ascii="宋体" w:hAnsi="宋体"/>
        </w:rPr>
      </w:pPr>
      <w:bookmarkStart w:id="44" w:name="_Toc7170191"/>
      <w:bookmarkStart w:id="45" w:name="_Toc454409570"/>
      <w:bookmarkStart w:id="46" w:name="_Toc445324339"/>
      <w:bookmarkStart w:id="47" w:name="_Toc445324376"/>
      <w:bookmarkStart w:id="48" w:name="_Toc453770811"/>
      <w:bookmarkStart w:id="49" w:name="_Toc445248523"/>
      <w:bookmarkStart w:id="50" w:name="_Toc445329634"/>
      <w:r>
        <w:rPr>
          <w:rFonts w:ascii="黑体" w:hAnsi="黑体" w:eastAsia="黑体" w:cs="黑体"/>
        </w:rPr>
        <w:t>5.4.3.2</w:t>
      </w:r>
      <w:r>
        <w:rPr>
          <w:rFonts w:ascii="宋体"/>
          <w:szCs w:val="22"/>
        </w:rPr>
        <w:t xml:space="preserve">  </w:t>
      </w:r>
      <w:r>
        <w:rPr>
          <w:rFonts w:hint="eastAsia" w:ascii="宋体"/>
          <w:szCs w:val="22"/>
        </w:rPr>
        <w:t>可采信</w:t>
      </w:r>
      <w:r>
        <w:rPr>
          <w:rFonts w:hint="eastAsia" w:ascii="宋体" w:hAnsi="宋体"/>
        </w:rPr>
        <w:t>制造商提供的</w:t>
      </w:r>
      <w:r>
        <w:rPr>
          <w:rFonts w:hint="eastAsia" w:ascii="宋体"/>
          <w:szCs w:val="22"/>
        </w:rPr>
        <w:t>具有资质的检验检测机构出具的检验报告或</w:t>
      </w:r>
      <w:r>
        <w:rPr>
          <w:rFonts w:hint="eastAsia"/>
          <w:szCs w:val="21"/>
        </w:rPr>
        <w:t>采信县级以上农机主管部门、鉴定、推广、科研等单位开展的实地试验验证报告</w:t>
      </w:r>
      <w:r>
        <w:rPr>
          <w:rFonts w:hint="eastAsia" w:ascii="宋体" w:hAnsi="宋体"/>
        </w:rPr>
        <w:t>。报告中包含的项目符合表2要求时，</w:t>
      </w:r>
      <w:r>
        <w:rPr>
          <w:rFonts w:hint="eastAsia" w:ascii="宋体" w:hAnsi="宋体"/>
          <w:bCs/>
        </w:rPr>
        <w:t>适用地区性能试验</w:t>
      </w:r>
      <w:r>
        <w:rPr>
          <w:rFonts w:hint="eastAsia" w:ascii="宋体" w:hAnsi="宋体"/>
        </w:rPr>
        <w:t>结论为符合大纲要求；否则，</w:t>
      </w:r>
      <w:r>
        <w:rPr>
          <w:rFonts w:hint="eastAsia" w:ascii="宋体" w:hAnsi="宋体"/>
          <w:bCs/>
        </w:rPr>
        <w:t>适用地区性能试验</w:t>
      </w:r>
      <w:r>
        <w:rPr>
          <w:rFonts w:hint="eastAsia" w:ascii="宋体" w:hAnsi="宋体"/>
        </w:rPr>
        <w:t>结论为不符合大纲要求。</w:t>
      </w:r>
    </w:p>
    <w:p>
      <w:pPr>
        <w:pStyle w:val="22"/>
        <w:spacing w:beforeLines="50" w:afterLines="50"/>
        <w:ind w:left="0"/>
        <w:rPr>
          <w:rFonts w:ascii="黑体" w:hAnsi="黑体" w:eastAsia="黑体" w:cs="黑体"/>
        </w:rPr>
      </w:pPr>
      <w:r>
        <w:rPr>
          <w:rFonts w:ascii="黑体"/>
        </w:rPr>
        <w:t xml:space="preserve">5.5  </w:t>
      </w:r>
      <w:r>
        <w:rPr>
          <w:rFonts w:hint="eastAsia" w:ascii="黑体" w:hAnsi="黑体" w:eastAsia="黑体" w:cs="黑体"/>
        </w:rPr>
        <w:t>综合判定规则</w:t>
      </w:r>
      <w:bookmarkEnd w:id="44"/>
      <w:bookmarkEnd w:id="45"/>
      <w:bookmarkEnd w:id="46"/>
      <w:bookmarkEnd w:id="47"/>
      <w:bookmarkEnd w:id="48"/>
      <w:bookmarkEnd w:id="49"/>
      <w:bookmarkEnd w:id="50"/>
    </w:p>
    <w:p>
      <w:pPr>
        <w:pStyle w:val="30"/>
        <w:numPr>
          <w:ilvl w:val="0"/>
          <w:numId w:val="0"/>
        </w:numPr>
        <w:spacing w:before="0" w:after="0"/>
        <w:rPr>
          <w:rFonts w:hAnsi="宋体" w:cs="Times New Roman"/>
        </w:rPr>
      </w:pPr>
      <w:r>
        <w:rPr>
          <w:rFonts w:ascii="黑体" w:hAnsi="黑体" w:eastAsia="黑体" w:cs="黑体"/>
        </w:rPr>
        <w:t xml:space="preserve">5.5.1 </w:t>
      </w:r>
      <w:r>
        <w:rPr>
          <w:rFonts w:hint="eastAsia" w:hAnsi="宋体"/>
        </w:rPr>
        <w:t>产品一致性检查、创新性评价、安全性检查、适用地区性能试验为一级指标，其包含的各检查</w:t>
      </w:r>
    </w:p>
    <w:p>
      <w:pPr>
        <w:pStyle w:val="30"/>
        <w:numPr>
          <w:ilvl w:val="0"/>
          <w:numId w:val="0"/>
        </w:numPr>
        <w:spacing w:before="0" w:after="0"/>
        <w:rPr>
          <w:rFonts w:hAnsi="黑体" w:eastAsia="黑体" w:cs="黑体"/>
        </w:rPr>
      </w:pPr>
      <w:r>
        <w:rPr>
          <w:rFonts w:hint="eastAsia" w:hAnsi="宋体"/>
        </w:rPr>
        <w:t>项目为二级指标。指标分级与要求见表</w:t>
      </w:r>
      <w:r>
        <w:rPr>
          <w:rFonts w:hAnsi="宋体"/>
        </w:rPr>
        <w:t>2</w:t>
      </w:r>
      <w:r>
        <w:rPr>
          <w:rFonts w:hint="eastAsia" w:hAnsi="宋体"/>
        </w:rPr>
        <w:t>。</w:t>
      </w:r>
    </w:p>
    <w:p>
      <w:pPr>
        <w:pStyle w:val="25"/>
        <w:numPr>
          <w:ilvl w:val="0"/>
          <w:numId w:val="0"/>
        </w:numPr>
        <w:tabs>
          <w:tab w:val="left" w:pos="360"/>
        </w:tabs>
        <w:spacing w:before="120" w:after="120"/>
        <w:rPr>
          <w:rFonts w:hAnsi="黑体" w:eastAsia="黑体" w:cs="黑体"/>
        </w:rPr>
      </w:pPr>
      <w:r>
        <w:rPr>
          <w:rFonts w:hint="eastAsia" w:hAnsi="黑体" w:eastAsia="黑体" w:cs="黑体"/>
        </w:rPr>
        <w:t>表</w:t>
      </w:r>
      <w:r>
        <w:rPr>
          <w:rFonts w:hAnsi="黑体" w:eastAsia="黑体" w:cs="黑体"/>
        </w:rPr>
        <w:t xml:space="preserve">2 </w:t>
      </w:r>
      <w:r>
        <w:rPr>
          <w:rFonts w:hint="eastAsia" w:hAnsi="黑体" w:eastAsia="黑体" w:cs="黑体"/>
        </w:rPr>
        <w:t>综合判定表</w:t>
      </w:r>
    </w:p>
    <w:tbl>
      <w:tblPr>
        <w:tblStyle w:val="11"/>
        <w:tblW w:w="9169" w:type="dxa"/>
        <w:tblInd w:w="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60"/>
        <w:gridCol w:w="705"/>
        <w:gridCol w:w="2301"/>
        <w:gridCol w:w="787"/>
        <w:gridCol w:w="3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一级指标</w:t>
            </w:r>
          </w:p>
        </w:tc>
        <w:tc>
          <w:tcPr>
            <w:tcW w:w="7409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二级指标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序号</w:t>
            </w:r>
          </w:p>
        </w:tc>
        <w:tc>
          <w:tcPr>
            <w:tcW w:w="2301" w:type="dxa"/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项目</w:t>
            </w:r>
          </w:p>
        </w:tc>
        <w:tc>
          <w:tcPr>
            <w:tcW w:w="787" w:type="dxa"/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单位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一致性检查</w:t>
            </w:r>
          </w:p>
        </w:tc>
        <w:tc>
          <w:tcPr>
            <w:tcW w:w="705" w:type="dxa"/>
            <w:tcBorders>
              <w:bottom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spacing w:line="240" w:lineRule="exac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bottom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spacing w:line="240" w:lineRule="exact"/>
              <w:ind w:firstLine="0" w:firstLineChars="0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检查项目（见表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）</w:t>
            </w:r>
          </w:p>
        </w:tc>
        <w:tc>
          <w:tcPr>
            <w:tcW w:w="787" w:type="dxa"/>
            <w:tcBorders>
              <w:bottom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361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符合本大纲表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创新性评价</w:t>
            </w:r>
          </w:p>
        </w:tc>
        <w:tc>
          <w:tcPr>
            <w:tcW w:w="705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18"/>
              <w:widowControl w:val="0"/>
              <w:ind w:leftChars="-66" w:hanging="138" w:hangingChars="77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 xml:space="preserve"> </w:t>
            </w: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18"/>
              <w:tabs>
                <w:tab w:val="left" w:pos="0"/>
              </w:tabs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见</w:t>
            </w:r>
            <w:r>
              <w:rPr>
                <w:rFonts w:hAnsi="宋体"/>
                <w:sz w:val="18"/>
                <w:szCs w:val="18"/>
              </w:rPr>
              <w:t>5.2.1</w:t>
            </w:r>
          </w:p>
        </w:tc>
        <w:tc>
          <w:tcPr>
            <w:tcW w:w="787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8"/>
              <w:ind w:left="-107" w:leftChars="-51" w:right="-56" w:rightChars="-27" w:firstLine="90" w:firstLineChars="5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符合本大纲</w:t>
            </w:r>
            <w:r>
              <w:rPr>
                <w:rFonts w:hAnsi="宋体"/>
                <w:sz w:val="18"/>
                <w:szCs w:val="18"/>
              </w:rPr>
              <w:t>5.2.2</w:t>
            </w:r>
            <w:r>
              <w:rPr>
                <w:rFonts w:hint="eastAsia" w:hAnsi="宋体"/>
                <w:sz w:val="18"/>
                <w:szCs w:val="18"/>
              </w:rPr>
              <w:t>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restart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36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安全性检查</w:t>
            </w:r>
          </w:p>
        </w:tc>
        <w:tc>
          <w:tcPr>
            <w:tcW w:w="705" w:type="dxa"/>
            <w:tcBorders>
              <w:top w:val="single" w:color="auto" w:sz="4" w:space="0"/>
            </w:tcBorders>
            <w:vAlign w:val="center"/>
          </w:tcPr>
          <w:p>
            <w:pPr>
              <w:pStyle w:val="18"/>
              <w:widowControl w:val="0"/>
              <w:ind w:leftChars="-66" w:hanging="138" w:hangingChars="77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 xml:space="preserve"> </w:t>
            </w: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top w:val="single" w:color="auto" w:sz="4" w:space="0"/>
            </w:tcBorders>
            <w:vAlign w:val="center"/>
          </w:tcPr>
          <w:p>
            <w:pPr>
              <w:pStyle w:val="18"/>
              <w:tabs>
                <w:tab w:val="left" w:pos="0"/>
              </w:tabs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安全防护</w:t>
            </w:r>
          </w:p>
        </w:tc>
        <w:tc>
          <w:tcPr>
            <w:tcW w:w="787" w:type="dxa"/>
            <w:tcBorders>
              <w:top w:val="single" w:color="auto" w:sz="4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8"/>
              <w:ind w:left="-107" w:leftChars="-51" w:right="-56" w:rightChars="-27" w:firstLine="90" w:firstLineChars="5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符合本大纲第</w:t>
            </w:r>
            <w:r>
              <w:rPr>
                <w:rFonts w:hAnsi="宋体"/>
                <w:sz w:val="18"/>
                <w:szCs w:val="18"/>
              </w:rPr>
              <w:t>5.3.1</w:t>
            </w:r>
            <w:r>
              <w:rPr>
                <w:rFonts w:hint="eastAsia" w:hAnsi="宋体"/>
                <w:sz w:val="18"/>
                <w:szCs w:val="18"/>
              </w:rPr>
              <w:t>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spacing w:line="240" w:lineRule="exac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2</w:t>
            </w:r>
          </w:p>
        </w:tc>
        <w:tc>
          <w:tcPr>
            <w:tcW w:w="2301" w:type="dxa"/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spacing w:line="240" w:lineRule="exact"/>
              <w:ind w:firstLine="0" w:firstLineChars="0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安全信息</w:t>
            </w:r>
          </w:p>
        </w:tc>
        <w:tc>
          <w:tcPr>
            <w:tcW w:w="7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符合本大纲第</w:t>
            </w:r>
            <w:r>
              <w:rPr>
                <w:rFonts w:hAnsi="宋体"/>
                <w:sz w:val="18"/>
                <w:szCs w:val="18"/>
              </w:rPr>
              <w:t>5.3.2</w:t>
            </w:r>
            <w:r>
              <w:rPr>
                <w:rFonts w:hint="eastAsia" w:hAnsi="宋体"/>
                <w:sz w:val="18"/>
                <w:szCs w:val="18"/>
              </w:rPr>
              <w:t>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="0" w:firstLineChars="0"/>
              <w:jc w:val="center"/>
              <w:rPr>
                <w:rFonts w:hAnsi="宋体"/>
                <w:strike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适用地区性能试验</w:t>
            </w: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耕作深度稳定性</w:t>
            </w:r>
          </w:p>
        </w:tc>
        <w:tc>
          <w:tcPr>
            <w:tcW w:w="7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≥</w:t>
            </w:r>
            <w:r>
              <w:rPr>
                <w:rFonts w:hAnsi="宋体"/>
                <w:sz w:val="18"/>
                <w:szCs w:val="18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2301" w:type="dxa"/>
            <w:vAlign w:val="center"/>
          </w:tcPr>
          <w:p>
            <w:pPr>
              <w:pStyle w:val="18"/>
              <w:widowControl w:val="0"/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耕作单体耕作宽度</w:t>
            </w:r>
          </w:p>
        </w:tc>
        <w:tc>
          <w:tcPr>
            <w:tcW w:w="787" w:type="dxa"/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mm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符合企业明示要求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2301" w:type="dxa"/>
            <w:vAlign w:val="center"/>
          </w:tcPr>
          <w:p>
            <w:pPr>
              <w:pStyle w:val="18"/>
              <w:widowControl w:val="0"/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秸秆清除率</w:t>
            </w:r>
          </w:p>
        </w:tc>
        <w:tc>
          <w:tcPr>
            <w:tcW w:w="787" w:type="dxa"/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≥8</w:t>
            </w:r>
            <w:r>
              <w:rPr>
                <w:rFonts w:hAnsi="宋体"/>
                <w:sz w:val="18"/>
                <w:szCs w:val="18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2301" w:type="dxa"/>
            <w:vAlign w:val="center"/>
          </w:tcPr>
          <w:p>
            <w:pPr>
              <w:pStyle w:val="18"/>
              <w:widowControl w:val="0"/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深松深度</w:t>
            </w:r>
          </w:p>
        </w:tc>
        <w:tc>
          <w:tcPr>
            <w:tcW w:w="787" w:type="dxa"/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mm</w:t>
            </w:r>
          </w:p>
        </w:tc>
        <w:tc>
          <w:tcPr>
            <w:tcW w:w="3616" w:type="dxa"/>
            <w:tcBorders>
              <w:right w:val="single" w:color="auto" w:sz="8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符合企业明示要求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exact"/>
        </w:trPr>
        <w:tc>
          <w:tcPr>
            <w:tcW w:w="1760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8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tcBorders>
              <w:bottom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2301" w:type="dxa"/>
            <w:tcBorders>
              <w:bottom w:val="single" w:color="auto" w:sz="8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动土率</w:t>
            </w:r>
          </w:p>
        </w:tc>
        <w:tc>
          <w:tcPr>
            <w:tcW w:w="787" w:type="dxa"/>
            <w:tcBorders>
              <w:bottom w:val="single" w:color="auto" w:sz="8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18"/>
              <w:widowControl w:val="0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＜</w:t>
            </w:r>
            <w:r>
              <w:rPr>
                <w:rFonts w:hAnsi="宋体"/>
                <w:sz w:val="18"/>
                <w:szCs w:val="18"/>
              </w:rPr>
              <w:t>50%</w:t>
            </w:r>
          </w:p>
        </w:tc>
      </w:tr>
    </w:tbl>
    <w:p>
      <w:pPr>
        <w:pStyle w:val="27"/>
        <w:ind w:left="0"/>
        <w:rPr>
          <w:rFonts w:ascii="黑体" w:hAnsi="黑体" w:eastAsia="黑体" w:cs="黑体"/>
        </w:rPr>
      </w:pPr>
    </w:p>
    <w:p>
      <w:pPr>
        <w:pStyle w:val="27"/>
        <w:ind w:left="0"/>
        <w:rPr>
          <w:rFonts w:ascii="宋体"/>
        </w:rPr>
      </w:pPr>
      <w:r>
        <w:rPr>
          <w:rFonts w:ascii="黑体" w:hAnsi="黑体" w:eastAsia="黑体" w:cs="黑体"/>
        </w:rPr>
        <w:t xml:space="preserve">5.5.2 </w:t>
      </w:r>
      <w:r>
        <w:rPr>
          <w:rFonts w:hint="eastAsia" w:hAnsi="宋体" w:cs="宋体"/>
        </w:rPr>
        <w:t>一级指标</w:t>
      </w:r>
      <w:r>
        <w:rPr>
          <w:rFonts w:hint="eastAsia" w:ascii="宋体" w:hAnsi="宋体" w:cs="宋体"/>
        </w:rPr>
        <w:t>均符合大纲要求时，专项鉴定结论为通过；否则，专项鉴定结论为不通过。</w:t>
      </w:r>
    </w:p>
    <w:p>
      <w:pPr>
        <w:pStyle w:val="27"/>
        <w:ind w:left="0" w:firstLine="420" w:firstLineChars="200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  <w:bookmarkStart w:id="53" w:name="_GoBack"/>
      <w:bookmarkEnd w:id="53"/>
    </w:p>
    <w:p>
      <w:pPr>
        <w:pStyle w:val="31"/>
        <w:spacing w:before="0" w:after="0"/>
        <w:ind w:left="0"/>
      </w:pPr>
      <w:bookmarkStart w:id="51" w:name="_Toc7170192"/>
      <w:bookmarkEnd w:id="51"/>
      <w:bookmarkStart w:id="52" w:name="_Toc465764507"/>
      <w:bookmarkEnd w:id="52"/>
    </w:p>
    <w:p>
      <w:pPr>
        <w:pStyle w:val="18"/>
        <w:ind w:firstLine="0" w:firstLineChars="0"/>
        <w:jc w:val="center"/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（规范性附录）</w:t>
      </w:r>
    </w:p>
    <w:p>
      <w:pPr>
        <w:pStyle w:val="32"/>
        <w:numPr>
          <w:ilvl w:val="0"/>
          <w:numId w:val="0"/>
        </w:numPr>
        <w:rPr>
          <w:rFonts w:hAnsi="黑体" w:eastAsia="黑体" w:cs="黑体"/>
          <w:color w:val="000000" w:themeColor="text1"/>
          <w:szCs w:val="21"/>
        </w:rPr>
      </w:pPr>
      <w:r>
        <w:rPr>
          <w:rFonts w:hint="eastAsia" w:hAnsi="黑体" w:eastAsia="黑体" w:cs="黑体"/>
          <w:color w:val="000000" w:themeColor="text1"/>
          <w:szCs w:val="21"/>
        </w:rPr>
        <w:t>产品规格表</w:t>
      </w:r>
    </w:p>
    <w:tbl>
      <w:tblPr>
        <w:tblStyle w:val="11"/>
        <w:tblW w:w="94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04"/>
        <w:gridCol w:w="2085"/>
        <w:gridCol w:w="976"/>
        <w:gridCol w:w="1841"/>
        <w:gridCol w:w="1418"/>
        <w:gridCol w:w="12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序号</w:t>
            </w:r>
          </w:p>
        </w:tc>
        <w:tc>
          <w:tcPr>
            <w:tcW w:w="3289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 目</w:t>
            </w:r>
          </w:p>
        </w:tc>
        <w:tc>
          <w:tcPr>
            <w:tcW w:w="976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</w:t>
            </w:r>
          </w:p>
        </w:tc>
        <w:tc>
          <w:tcPr>
            <w:tcW w:w="184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设计值</w:t>
            </w:r>
          </w:p>
        </w:tc>
        <w:tc>
          <w:tcPr>
            <w:tcW w:w="26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机型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89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驱动型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非驱动型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型号名称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pacing w:val="20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结构型式（驱动型、非驱动型）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行距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工作行数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工作幅宽（行距</w:t>
            </w:r>
            <w:r>
              <w:rPr>
                <w:rFonts w:ascii="宋体" w:hAnsi="宋体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sz w:val="18"/>
                <w:szCs w:val="18"/>
              </w:rPr>
              <w:t>行数）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配套拖拉机功率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配套拖拉机动力输出轴转速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耕作单体（驱动型）</w:t>
            </w: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耕作宽度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秸秆清理部件型式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刀辊总成</w:t>
            </w: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刀辊回转半径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刀片型式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刀片数量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碎土部件型式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镇压部件型式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深松部件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（如有）</w:t>
            </w: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深度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</w:t>
            </w:r>
          </w:p>
        </w:tc>
        <w:tc>
          <w:tcPr>
            <w:tcW w:w="1204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耕作单体（非驱动型）</w:t>
            </w: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耕作宽度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限深装置型式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切碎装置型式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秸秆分离装置型式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耕作部件型式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碎土部件型式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411" w:type="dxa"/>
            <w:gridSpan w:val="7"/>
            <w:vAlign w:val="center"/>
          </w:tcPr>
          <w:p>
            <w:pPr>
              <w:autoSpaceDE w:val="0"/>
              <w:autoSpaceDN w:val="0"/>
              <w:spacing w:line="0" w:lineRule="atLeast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注：</w:t>
            </w:r>
            <w:r>
              <w:rPr>
                <w:rFonts w:hint="eastAsia" w:ascii="宋体" w:hAnsi="宋体"/>
                <w:sz w:val="18"/>
                <w:szCs w:val="18"/>
              </w:rPr>
              <w:t>因机具结构不同，检查项目会有差异。表中“√”表示适用，“/”表示不适用</w:t>
            </w:r>
          </w:p>
        </w:tc>
      </w:tr>
    </w:tbl>
    <w:p>
      <w:pPr>
        <w:pStyle w:val="18"/>
        <w:ind w:firstLine="420"/>
      </w:pPr>
    </w:p>
    <w:p>
      <w:pPr>
        <w:pStyle w:val="18"/>
        <w:ind w:firstLine="0" w:firstLineChars="0"/>
      </w:pPr>
    </w:p>
    <w:p>
      <w:pPr>
        <w:pStyle w:val="18"/>
        <w:spacing w:beforeLines="50"/>
        <w:ind w:firstLine="840" w:firstLineChars="400"/>
      </w:pPr>
      <w:r>
        <w:rPr>
          <w:rFonts w:hint="eastAsia"/>
        </w:rPr>
        <w:t>企业负责人：</w:t>
      </w:r>
      <w:r>
        <w:t xml:space="preserve">                    </w:t>
      </w:r>
      <w:r>
        <w:rPr>
          <w:rFonts w:hint="eastAsia"/>
        </w:rPr>
        <w:t>（公章）</w:t>
      </w:r>
      <w:r>
        <w:t xml:space="preserve">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>
      <w:pPr>
        <w:pStyle w:val="18"/>
        <w:spacing w:beforeLines="50"/>
        <w:ind w:firstLine="0" w:firstLineChars="0"/>
      </w:pPr>
    </w:p>
    <w:p>
      <w:pPr>
        <w:pStyle w:val="18"/>
        <w:spacing w:beforeLines="50"/>
        <w:ind w:firstLine="0" w:firstLineChars="0"/>
      </w:pPr>
    </w:p>
    <w:p>
      <w:pPr>
        <w:pStyle w:val="33"/>
        <w:framePr w:hAnchor="page" w:x="4416" w:y="1"/>
      </w:pPr>
      <w:r>
        <w:t>_________________________________</w:t>
      </w:r>
    </w:p>
    <w:p>
      <w:pPr>
        <w:pStyle w:val="18"/>
        <w:spacing w:beforeLines="50"/>
        <w:ind w:firstLine="0" w:firstLineChars="0"/>
      </w:pPr>
    </w:p>
    <w:p/>
    <w:sectPr>
      <w:footerReference r:id="rId12" w:type="default"/>
      <w:headerReference r:id="rId11" w:type="even"/>
      <w:footerReference r:id="rId13" w:type="even"/>
      <w:pgSz w:w="11907" w:h="16839"/>
      <w:pgMar w:top="1417" w:right="1134" w:bottom="1134" w:left="1418" w:header="1021" w:footer="1020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4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6</w:t>
    </w:r>
    <w:r>
      <w:rPr>
        <w:rStyle w:val="13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1524" w:y="5"/>
      <w:ind w:right="210"/>
      <w:rPr>
        <w:rStyle w:val="13"/>
        <w:rFonts w:ascii="宋体" w:cs="宋体"/>
      </w:rPr>
    </w:pPr>
    <w:r>
      <w:rPr>
        <w:rStyle w:val="13"/>
        <w:rFonts w:ascii="宋体" w:cs="宋体"/>
      </w:rPr>
      <w:fldChar w:fldCharType="begin"/>
    </w:r>
    <w:r>
      <w:rPr>
        <w:rStyle w:val="13"/>
        <w:rFonts w:ascii="宋体" w:cs="宋体"/>
      </w:rPr>
      <w:instrText xml:space="preserve">PAGE  </w:instrText>
    </w:r>
    <w:r>
      <w:rPr>
        <w:rStyle w:val="13"/>
        <w:rFonts w:ascii="宋体" w:cs="宋体"/>
      </w:rPr>
      <w:fldChar w:fldCharType="separate"/>
    </w:r>
    <w:r>
      <w:rPr>
        <w:rStyle w:val="13"/>
        <w:rFonts w:ascii="宋体" w:cs="宋体"/>
      </w:rPr>
      <w:t>II</w:t>
    </w:r>
    <w:r>
      <w:rPr>
        <w:rStyle w:val="13"/>
        <w:rFonts w:ascii="宋体" w:cs="宋体"/>
      </w:rPr>
      <w:fldChar w:fldCharType="end"/>
    </w:r>
  </w:p>
  <w:p>
    <w:pPr>
      <w:pStyle w:val="8"/>
      <w:ind w:right="2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4"/>
      <w:rPr>
        <w:rStyle w:val="13"/>
        <w:rFonts w:ascii="宋体" w:cs="宋体"/>
      </w:rPr>
    </w:pPr>
    <w:r>
      <w:rPr>
        <w:rStyle w:val="13"/>
        <w:rFonts w:ascii="宋体" w:cs="宋体"/>
      </w:rPr>
      <w:fldChar w:fldCharType="begin"/>
    </w:r>
    <w:r>
      <w:rPr>
        <w:rStyle w:val="13"/>
        <w:rFonts w:ascii="宋体" w:cs="宋体"/>
      </w:rPr>
      <w:instrText xml:space="preserve">PAGE  </w:instrText>
    </w:r>
    <w:r>
      <w:rPr>
        <w:rStyle w:val="13"/>
        <w:rFonts w:ascii="宋体" w:cs="宋体"/>
      </w:rPr>
      <w:fldChar w:fldCharType="separate"/>
    </w:r>
    <w:r>
      <w:rPr>
        <w:rStyle w:val="13"/>
        <w:rFonts w:ascii="宋体" w:cs="宋体"/>
      </w:rPr>
      <w:t>I</w:t>
    </w:r>
    <w:r>
      <w:rPr>
        <w:rStyle w:val="13"/>
        <w:rFonts w:ascii="宋体" w:cs="宋体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4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II</w:t>
    </w:r>
    <w:r>
      <w:rPr>
        <w:rStyle w:val="13"/>
      </w:rP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4"/>
      <w:rPr>
        <w:rStyle w:val="13"/>
        <w:rFonts w:ascii="宋体" w:cs="宋体"/>
      </w:rPr>
    </w:pPr>
    <w:r>
      <w:rPr>
        <w:rStyle w:val="13"/>
        <w:rFonts w:ascii="宋体" w:cs="宋体"/>
      </w:rPr>
      <w:fldChar w:fldCharType="begin"/>
    </w:r>
    <w:r>
      <w:rPr>
        <w:rStyle w:val="13"/>
        <w:rFonts w:ascii="宋体" w:cs="宋体"/>
      </w:rPr>
      <w:instrText xml:space="preserve">PAGE  </w:instrText>
    </w:r>
    <w:r>
      <w:rPr>
        <w:rStyle w:val="13"/>
        <w:rFonts w:ascii="宋体" w:cs="宋体"/>
      </w:rPr>
      <w:fldChar w:fldCharType="separate"/>
    </w:r>
    <w:r>
      <w:rPr>
        <w:rStyle w:val="13"/>
        <w:rFonts w:ascii="宋体" w:cs="宋体"/>
      </w:rPr>
      <w:t>1</w:t>
    </w:r>
    <w:r>
      <w:rPr>
        <w:rStyle w:val="13"/>
        <w:rFonts w:ascii="宋体" w:cs="宋体"/>
      </w:rP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1419" w:y="-15"/>
      <w:ind w:right="210"/>
      <w:rPr>
        <w:rStyle w:val="13"/>
        <w:rFonts w:ascii="宋体" w:cs="宋体"/>
      </w:rPr>
    </w:pPr>
    <w:r>
      <w:rPr>
        <w:rStyle w:val="13"/>
        <w:rFonts w:ascii="宋体" w:cs="宋体"/>
      </w:rPr>
      <w:fldChar w:fldCharType="begin"/>
    </w:r>
    <w:r>
      <w:rPr>
        <w:rStyle w:val="13"/>
        <w:rFonts w:ascii="宋体" w:cs="宋体"/>
      </w:rPr>
      <w:instrText xml:space="preserve">PAGE  </w:instrText>
    </w:r>
    <w:r>
      <w:rPr>
        <w:rStyle w:val="13"/>
        <w:rFonts w:ascii="宋体" w:cs="宋体"/>
      </w:rPr>
      <w:fldChar w:fldCharType="separate"/>
    </w:r>
    <w:r>
      <w:rPr>
        <w:rStyle w:val="13"/>
        <w:rFonts w:ascii="宋体" w:cs="宋体"/>
      </w:rPr>
      <w:t>6</w:t>
    </w:r>
    <w:r>
      <w:rPr>
        <w:rStyle w:val="13"/>
        <w:rFonts w:ascii="宋体" w:cs="宋体"/>
      </w:rPr>
      <w:fldChar w:fldCharType="end"/>
    </w:r>
  </w:p>
  <w:p>
    <w:pPr>
      <w:pStyle w:val="8"/>
      <w:ind w:right="2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3"/>
    </w:pPr>
    <w:r>
      <w:t>NZ 31TJ/××-2004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right="840"/>
      <w:jc w:val="both"/>
      <w:rPr>
        <w:rFonts w:ascii="黑体" w:eastAsia="黑体" w:cs="黑体"/>
        <w:sz w:val="21"/>
        <w:szCs w:val="21"/>
      </w:rPr>
    </w:pPr>
    <w:r>
      <w:rPr>
        <w:rFonts w:ascii="黑体" w:eastAsia="黑体" w:cs="黑体"/>
        <w:sz w:val="21"/>
        <w:szCs w:val="21"/>
      </w:rPr>
      <w:t xml:space="preserve">DG22/Z </w:t>
    </w:r>
    <w:r>
      <w:rPr>
        <w:rFonts w:hint="eastAsia" w:ascii="黑体" w:hAnsi="黑体" w:eastAsia="黑体" w:cs="黑体"/>
      </w:rPr>
      <w:t>×××</w:t>
    </w:r>
    <w:r>
      <w:rPr>
        <w:rFonts w:ascii="黑体" w:eastAsia="黑体" w:cs="黑体"/>
        <w:sz w:val="21"/>
        <w:szCs w:val="21"/>
      </w:rPr>
      <w:t>—</w:t>
    </w:r>
    <w:r>
      <w:rPr>
        <w:rFonts w:hint="eastAsia" w:ascii="黑体" w:hAnsi="黑体" w:eastAsia="黑体" w:cs="黑体"/>
      </w:rPr>
      <w:t>××××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3"/>
      <w:rPr>
        <w:rFonts w:hint="default" w:ascii="黑体" w:eastAsia="黑体" w:cs="黑体"/>
        <w:lang w:val="en-US" w:eastAsia="zh-CN"/>
      </w:rPr>
    </w:pPr>
    <w:r>
      <w:rPr>
        <w:rFonts w:ascii="黑体" w:eastAsia="黑体" w:cs="黑体"/>
        <w:szCs w:val="21"/>
      </w:rPr>
      <w:t xml:space="preserve">DG22/Z </w:t>
    </w:r>
    <w:r>
      <w:rPr>
        <w:rFonts w:hint="eastAsia" w:ascii="黑体" w:hAnsi="黑体" w:eastAsia="黑体" w:cs="黑体"/>
        <w:lang w:val="en-US" w:eastAsia="zh-CN"/>
      </w:rPr>
      <w:t>001</w:t>
    </w:r>
    <w:r>
      <w:rPr>
        <w:rFonts w:ascii="黑体" w:eastAsia="黑体" w:cs="黑体"/>
      </w:rPr>
      <w:t>—</w:t>
    </w:r>
    <w:r>
      <w:rPr>
        <w:rFonts w:hint="eastAsia" w:ascii="黑体" w:hAnsi="黑体" w:eastAsia="黑体" w:cs="黑体"/>
        <w:lang w:val="en-US" w:eastAsia="zh-CN"/>
      </w:rPr>
      <w:t>2021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right="840"/>
      <w:jc w:val="both"/>
      <w:rPr>
        <w:rFonts w:ascii="黑体" w:eastAsia="黑体" w:cs="黑体"/>
        <w:sz w:val="21"/>
        <w:szCs w:val="21"/>
      </w:rPr>
    </w:pPr>
    <w:r>
      <w:rPr>
        <w:rFonts w:ascii="黑体" w:eastAsia="黑体" w:cs="黑体"/>
        <w:sz w:val="21"/>
        <w:szCs w:val="21"/>
      </w:rPr>
      <w:t xml:space="preserve">DG22/Z </w:t>
    </w:r>
    <w:r>
      <w:rPr>
        <w:rFonts w:hint="eastAsia" w:ascii="黑体" w:hAnsi="黑体" w:eastAsia="黑体" w:cs="黑体"/>
      </w:rPr>
      <w:t>×××</w:t>
    </w:r>
    <w:r>
      <w:rPr>
        <w:rFonts w:ascii="黑体" w:eastAsia="黑体" w:cs="黑体"/>
        <w:sz w:val="21"/>
        <w:szCs w:val="21"/>
      </w:rPr>
      <w:t>—</w:t>
    </w:r>
    <w:r>
      <w:rPr>
        <w:rFonts w:hint="eastAsia" w:ascii="黑体" w:hAnsi="黑体" w:eastAsia="黑体" w:cs="黑体"/>
      </w:rPr>
      <w:t>××××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0B921"/>
    <w:multiLevelType w:val="singleLevel"/>
    <w:tmpl w:val="AD50B921"/>
    <w:lvl w:ilvl="0" w:tentative="0">
      <w:start w:val="1"/>
      <w:numFmt w:val="lowerLetter"/>
      <w:suff w:val="nothing"/>
      <w:lvlText w:val="%1）"/>
      <w:lvlJc w:val="left"/>
      <w:rPr>
        <w:rFonts w:cs="Times New Roman"/>
      </w:rPr>
    </w:lvl>
  </w:abstractNum>
  <w:abstractNum w:abstractNumId="1">
    <w:nsid w:val="BACB8A8F"/>
    <w:multiLevelType w:val="singleLevel"/>
    <w:tmpl w:val="BACB8A8F"/>
    <w:lvl w:ilvl="0" w:tentative="0">
      <w:start w:val="1"/>
      <w:numFmt w:val="lowerLetter"/>
      <w:suff w:val="space"/>
      <w:lvlText w:val="%1)"/>
      <w:lvlJc w:val="left"/>
      <w:rPr>
        <w:rFonts w:cs="Times New Roman"/>
      </w:rPr>
    </w:lvl>
  </w:abstractNum>
  <w:abstractNum w:abstractNumId="2">
    <w:nsid w:val="4F302902"/>
    <w:multiLevelType w:val="multilevel"/>
    <w:tmpl w:val="4F302902"/>
    <w:lvl w:ilvl="0" w:tentative="0">
      <w:start w:val="1"/>
      <w:numFmt w:val="none"/>
      <w:pStyle w:val="32"/>
      <w:lvlText w:val="表"/>
      <w:lvlJc w:val="left"/>
      <w:pPr>
        <w:tabs>
          <w:tab w:val="left" w:pos="36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5710463F"/>
    <w:multiLevelType w:val="multilevel"/>
    <w:tmpl w:val="5710463F"/>
    <w:lvl w:ilvl="0" w:tentative="0">
      <w:start w:val="1"/>
      <w:numFmt w:val="lowerLetter"/>
      <w:lvlText w:val="%1)"/>
      <w:lvlJc w:val="left"/>
      <w:pPr>
        <w:tabs>
          <w:tab w:val="left" w:pos="0"/>
        </w:tabs>
        <w:ind w:firstLine="420"/>
      </w:pPr>
      <w:rPr>
        <w:rFonts w:hint="default" w:cs="Times New Roman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00" w:hanging="420"/>
      </w:pPr>
      <w:rPr>
        <w:rFonts w:cs="Times New Roman"/>
      </w:rPr>
    </w:lvl>
  </w:abstractNum>
  <w:abstractNum w:abstractNumId="4">
    <w:nsid w:val="646260FA"/>
    <w:multiLevelType w:val="multilevel"/>
    <w:tmpl w:val="646260FA"/>
    <w:lvl w:ilvl="0" w:tentative="0">
      <w:start w:val="1"/>
      <w:numFmt w:val="decimal"/>
      <w:pStyle w:val="25"/>
      <w:suff w:val="nothing"/>
      <w:lvlText w:val="表%1　"/>
      <w:lvlJc w:val="left"/>
      <w:pPr>
        <w:tabs>
          <w:tab w:val="left" w:pos="0"/>
        </w:tabs>
        <w:ind w:left="2269"/>
      </w:pPr>
      <w:rPr>
        <w:rFonts w:hint="eastAsia" w:ascii="黑体" w:hAnsi="黑体" w:eastAsia="黑体" w:cs="Times New Roman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5">
    <w:nsid w:val="657D3FBC"/>
    <w:multiLevelType w:val="multilevel"/>
    <w:tmpl w:val="657D3FBC"/>
    <w:lvl w:ilvl="0" w:tentative="0">
      <w:start w:val="1"/>
      <w:numFmt w:val="upperLetter"/>
      <w:pStyle w:val="31"/>
      <w:suff w:val="nothing"/>
      <w:lvlText w:val="附　录　%1"/>
      <w:lvlJc w:val="left"/>
      <w:pPr>
        <w:tabs>
          <w:tab w:val="left" w:pos="0"/>
        </w:tabs>
        <w:ind w:left="4962"/>
      </w:pPr>
      <w:rPr>
        <w:rFonts w:hint="eastAsia" w:ascii="黑体" w:hAnsi="黑体" w:eastAsia="黑体" w:cs="Times New Roman"/>
        <w:b w:val="0"/>
        <w:i w:val="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6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tabs>
          <w:tab w:val="left" w:pos="0"/>
        </w:tabs>
      </w:pPr>
      <w:rPr>
        <w:rFonts w:hint="default" w:ascii="Times New Roman" w:hAnsi="Times New Roman" w:cs="Times New Roman"/>
        <w:b/>
        <w:i w:val="0"/>
        <w:sz w:val="21"/>
      </w:rPr>
    </w:lvl>
    <w:lvl w:ilvl="1" w:tentative="0">
      <w:start w:val="1"/>
      <w:numFmt w:val="decimal"/>
      <w:pStyle w:val="21"/>
      <w:suff w:val="nothing"/>
      <w:lvlText w:val="%1%2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2" w:tentative="0">
      <w:start w:val="1"/>
      <w:numFmt w:val="decimal"/>
      <w:pStyle w:val="30"/>
      <w:suff w:val="nothing"/>
      <w:lvlText w:val="%1%2.%3　"/>
      <w:lvlJc w:val="left"/>
      <w:pPr>
        <w:tabs>
          <w:tab w:val="left" w:pos="196"/>
        </w:tabs>
        <w:ind w:left="480"/>
      </w:pPr>
      <w:rPr>
        <w:rFonts w:hint="eastAsia" w:ascii="黑体" w:hAnsi="黑体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tabs>
          <w:tab w:val="left" w:pos="142"/>
        </w:tabs>
        <w:ind w:left="284"/>
      </w:pPr>
      <w:rPr>
        <w:rFonts w:hint="eastAsia" w:ascii="黑体" w:hAnsi="黑体" w:eastAsia="黑体" w:cs="Times New Roman"/>
        <w:b w:val="0"/>
        <w:i w:val="0"/>
        <w:color w:val="auto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tabs>
          <w:tab w:val="left" w:pos="0"/>
        </w:tabs>
        <w:ind w:left="993"/>
      </w:pPr>
      <w:rPr>
        <w:rFonts w:hint="eastAsia" w:ascii="黑体" w:hAnsi="黑体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tabs>
          <w:tab w:val="left" w:pos="0"/>
        </w:tabs>
      </w:pPr>
      <w:rPr>
        <w:rFonts w:hint="eastAsia" w:ascii="黑体" w:hAnsi="黑体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7753DE"/>
    <w:rsid w:val="0001379C"/>
    <w:rsid w:val="000A66FF"/>
    <w:rsid w:val="00132175"/>
    <w:rsid w:val="0029106E"/>
    <w:rsid w:val="0054516C"/>
    <w:rsid w:val="0055055F"/>
    <w:rsid w:val="00687E11"/>
    <w:rsid w:val="00693C08"/>
    <w:rsid w:val="007753DE"/>
    <w:rsid w:val="007A6504"/>
    <w:rsid w:val="00887B73"/>
    <w:rsid w:val="00A15008"/>
    <w:rsid w:val="00B37487"/>
    <w:rsid w:val="00B525FB"/>
    <w:rsid w:val="00C44AF9"/>
    <w:rsid w:val="00EA6C2D"/>
    <w:rsid w:val="04BF2072"/>
    <w:rsid w:val="05E16BFF"/>
    <w:rsid w:val="06CF74A6"/>
    <w:rsid w:val="06EC37A5"/>
    <w:rsid w:val="08EA006A"/>
    <w:rsid w:val="0EA4692B"/>
    <w:rsid w:val="0FCC0D81"/>
    <w:rsid w:val="12F91F4B"/>
    <w:rsid w:val="13B30604"/>
    <w:rsid w:val="18510586"/>
    <w:rsid w:val="1A582E61"/>
    <w:rsid w:val="1D5F180C"/>
    <w:rsid w:val="1D7E7AE8"/>
    <w:rsid w:val="1DE74AC8"/>
    <w:rsid w:val="1F004C97"/>
    <w:rsid w:val="1F230932"/>
    <w:rsid w:val="22413D79"/>
    <w:rsid w:val="23D12251"/>
    <w:rsid w:val="25113BB0"/>
    <w:rsid w:val="2CA7291F"/>
    <w:rsid w:val="2FD24F6A"/>
    <w:rsid w:val="32F16D59"/>
    <w:rsid w:val="39B63095"/>
    <w:rsid w:val="3F2D0622"/>
    <w:rsid w:val="40A63D33"/>
    <w:rsid w:val="41623C8C"/>
    <w:rsid w:val="44C01584"/>
    <w:rsid w:val="464C4871"/>
    <w:rsid w:val="48562181"/>
    <w:rsid w:val="4FB55EAD"/>
    <w:rsid w:val="50126BCA"/>
    <w:rsid w:val="53C007CF"/>
    <w:rsid w:val="54381D9F"/>
    <w:rsid w:val="5FC372C7"/>
    <w:rsid w:val="60344613"/>
    <w:rsid w:val="631A704F"/>
    <w:rsid w:val="6380059A"/>
    <w:rsid w:val="6DEA5030"/>
    <w:rsid w:val="6F4C4560"/>
    <w:rsid w:val="6FBA6B92"/>
    <w:rsid w:val="72472DB7"/>
    <w:rsid w:val="7BFE1F05"/>
    <w:rsid w:val="7D660942"/>
    <w:rsid w:val="7F9D336F"/>
    <w:rsid w:val="FEFB5556"/>
    <w:rsid w:val="FEFF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200" w:leftChars="200"/>
    </w:pPr>
  </w:style>
  <w:style w:type="paragraph" w:styleId="3">
    <w:name w:val="toc 5"/>
    <w:basedOn w:val="4"/>
    <w:next w:val="1"/>
    <w:qFormat/>
    <w:uiPriority w:val="99"/>
  </w:style>
  <w:style w:type="paragraph" w:styleId="4">
    <w:name w:val="toc 4"/>
    <w:basedOn w:val="5"/>
    <w:next w:val="1"/>
    <w:qFormat/>
    <w:uiPriority w:val="99"/>
  </w:style>
  <w:style w:type="paragraph" w:styleId="5">
    <w:name w:val="toc 3"/>
    <w:basedOn w:val="6"/>
    <w:next w:val="1"/>
    <w:qFormat/>
    <w:uiPriority w:val="99"/>
  </w:style>
  <w:style w:type="paragraph" w:styleId="6">
    <w:name w:val="toc 2"/>
    <w:basedOn w:val="7"/>
    <w:next w:val="1"/>
    <w:qFormat/>
    <w:uiPriority w:val="99"/>
  </w:style>
  <w:style w:type="paragraph" w:styleId="7">
    <w:name w:val="toc 1"/>
    <w:basedOn w:val="1"/>
    <w:next w:val="1"/>
    <w:qFormat/>
    <w:uiPriority w:val="99"/>
    <w:pPr>
      <w:widowControl/>
    </w:pPr>
    <w:rPr>
      <w:rFonts w:ascii="宋体"/>
      <w:kern w:val="0"/>
      <w:szCs w:val="20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ind w:right="100" w:rightChars="100"/>
      <w:jc w:val="righ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6"/>
    <w:basedOn w:val="3"/>
    <w:next w:val="1"/>
    <w:link w:val="19"/>
    <w:qFormat/>
    <w:uiPriority w:val="99"/>
  </w:style>
  <w:style w:type="character" w:styleId="13">
    <w:name w:val="page number"/>
    <w:basedOn w:val="12"/>
    <w:qFormat/>
    <w:uiPriority w:val="99"/>
    <w:rPr>
      <w:rFonts w:ascii="Times New Roman" w:hAnsi="Times New Roman" w:eastAsia="宋体" w:cs="Times New Roman"/>
      <w:sz w:val="18"/>
    </w:rPr>
  </w:style>
  <w:style w:type="character" w:styleId="14">
    <w:name w:val="Hyperlink"/>
    <w:basedOn w:val="12"/>
    <w:qFormat/>
    <w:uiPriority w:val="99"/>
    <w:rPr>
      <w:rFonts w:ascii="Times New Roman" w:hAnsi="Times New Roman" w:eastAsia="宋体" w:cs="Times New Roman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15">
    <w:name w:val="封面正文"/>
    <w:qFormat/>
    <w:uiPriority w:val="99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目次、标准名称标题"/>
    <w:basedOn w:val="17"/>
    <w:next w:val="18"/>
    <w:qFormat/>
    <w:uiPriority w:val="99"/>
    <w:pPr>
      <w:spacing w:line="460" w:lineRule="exact"/>
    </w:pPr>
  </w:style>
  <w:style w:type="paragraph" w:customStyle="1" w:styleId="17">
    <w:name w:val="前言、引言标题"/>
    <w:next w:val="1"/>
    <w:qFormat/>
    <w:uiPriority w:val="99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宋体" w:cs="Times New Roman"/>
      <w:sz w:val="32"/>
      <w:lang w:val="en-US" w:eastAsia="zh-CN" w:bidi="ar-SA"/>
    </w:rPr>
  </w:style>
  <w:style w:type="paragraph" w:customStyle="1" w:styleId="18">
    <w:name w:val="段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9">
    <w:name w:val="目录 6 Char"/>
    <w:link w:val="10"/>
    <w:qFormat/>
    <w:locked/>
    <w:uiPriority w:val="99"/>
  </w:style>
  <w:style w:type="paragraph" w:customStyle="1" w:styleId="20">
    <w:name w:val="目次、索引正文"/>
    <w:qFormat/>
    <w:uiPriority w:val="99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1">
    <w:name w:val="章标题"/>
    <w:next w:val="18"/>
    <w:qFormat/>
    <w:uiPriority w:val="99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宋体" w:cs="Times New Roman"/>
      <w:sz w:val="21"/>
      <w:lang w:val="en-US" w:eastAsia="zh-CN" w:bidi="ar-SA"/>
    </w:rPr>
  </w:style>
  <w:style w:type="paragraph" w:customStyle="1" w:styleId="22">
    <w:name w:val="一级条标题"/>
    <w:next w:val="18"/>
    <w:qFormat/>
    <w:uiPriority w:val="99"/>
    <w:pPr>
      <w:tabs>
        <w:tab w:val="left" w:pos="196"/>
      </w:tabs>
      <w:ind w:left="480"/>
      <w:outlineLvl w:val="2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23">
    <w:name w:val="二级条标题 Char Char"/>
    <w:basedOn w:val="22"/>
    <w:next w:val="18"/>
    <w:qFormat/>
    <w:uiPriority w:val="99"/>
    <w:pPr>
      <w:tabs>
        <w:tab w:val="left" w:pos="0"/>
        <w:tab w:val="left" w:pos="142"/>
      </w:tabs>
      <w:outlineLvl w:val="3"/>
    </w:pPr>
  </w:style>
  <w:style w:type="paragraph" w:customStyle="1" w:styleId="24">
    <w:name w:val="二级条标题"/>
    <w:basedOn w:val="1"/>
    <w:next w:val="18"/>
    <w:qFormat/>
    <w:uiPriority w:val="99"/>
    <w:pPr>
      <w:widowControl/>
      <w:jc w:val="left"/>
      <w:outlineLvl w:val="3"/>
    </w:pPr>
    <w:rPr>
      <w:rFonts w:eastAsia="黑体"/>
      <w:kern w:val="0"/>
      <w:szCs w:val="20"/>
    </w:rPr>
  </w:style>
  <w:style w:type="paragraph" w:customStyle="1" w:styleId="25">
    <w:name w:val="正文表标题"/>
    <w:next w:val="18"/>
    <w:qFormat/>
    <w:uiPriority w:val="99"/>
    <w:pPr>
      <w:numPr>
        <w:ilvl w:val="0"/>
        <w:numId w:val="2"/>
      </w:numPr>
      <w:jc w:val="center"/>
    </w:pPr>
    <w:rPr>
      <w:rFonts w:ascii="黑体" w:hAnsi="Times New Roman" w:eastAsia="宋体" w:cs="Times New Roman"/>
      <w:sz w:val="21"/>
      <w:lang w:val="en-US" w:eastAsia="zh-CN" w:bidi="ar-SA"/>
    </w:rPr>
  </w:style>
  <w:style w:type="paragraph" w:customStyle="1" w:styleId="26">
    <w:name w:val="三级无"/>
    <w:basedOn w:val="27"/>
    <w:qFormat/>
    <w:uiPriority w:val="99"/>
    <w:pPr>
      <w:tabs>
        <w:tab w:val="left" w:pos="0"/>
        <w:tab w:val="left" w:pos="142"/>
        <w:tab w:val="left" w:pos="196"/>
      </w:tabs>
      <w:spacing w:before="50" w:after="50"/>
      <w:ind w:left="2269" w:hanging="2269"/>
    </w:pPr>
    <w:rPr>
      <w:rFonts w:ascii="宋体" w:cs="宋体"/>
    </w:rPr>
  </w:style>
  <w:style w:type="paragraph" w:customStyle="1" w:styleId="27">
    <w:name w:val="三级条标题"/>
    <w:basedOn w:val="23"/>
    <w:next w:val="18"/>
    <w:qFormat/>
    <w:uiPriority w:val="99"/>
    <w:pPr>
      <w:outlineLvl w:val="4"/>
    </w:pPr>
  </w:style>
  <w:style w:type="paragraph" w:customStyle="1" w:styleId="28">
    <w:name w:val="字母编号列项（一级）"/>
    <w:qFormat/>
    <w:uiPriority w:val="99"/>
    <w:pPr>
      <w:ind w:left="4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9">
    <w:name w:val="二级条标题 Char"/>
    <w:basedOn w:val="22"/>
    <w:next w:val="18"/>
    <w:qFormat/>
    <w:uiPriority w:val="99"/>
    <w:pPr>
      <w:ind w:left="0"/>
      <w:outlineLvl w:val="3"/>
    </w:pPr>
  </w:style>
  <w:style w:type="paragraph" w:customStyle="1" w:styleId="30">
    <w:name w:val="二级无"/>
    <w:basedOn w:val="24"/>
    <w:qFormat/>
    <w:uiPriority w:val="99"/>
    <w:pPr>
      <w:numPr>
        <w:ilvl w:val="2"/>
        <w:numId w:val="1"/>
      </w:numPr>
      <w:spacing w:before="50" w:after="50"/>
      <w:ind w:left="851" w:hanging="851"/>
    </w:pPr>
    <w:rPr>
      <w:rFonts w:ascii="宋体" w:eastAsia="宋体" w:cs="宋体"/>
    </w:rPr>
  </w:style>
  <w:style w:type="paragraph" w:customStyle="1" w:styleId="31">
    <w:name w:val="附录标识"/>
    <w:basedOn w:val="17"/>
    <w:qFormat/>
    <w:uiPriority w:val="99"/>
    <w:pPr>
      <w:numPr>
        <w:ilvl w:val="0"/>
        <w:numId w:val="3"/>
      </w:numPr>
      <w:tabs>
        <w:tab w:val="left" w:pos="6405"/>
      </w:tabs>
      <w:spacing w:after="200"/>
    </w:pPr>
    <w:rPr>
      <w:sz w:val="21"/>
    </w:rPr>
  </w:style>
  <w:style w:type="paragraph" w:customStyle="1" w:styleId="32">
    <w:name w:val="附录表标题"/>
    <w:next w:val="18"/>
    <w:qFormat/>
    <w:uiPriority w:val="99"/>
    <w:pPr>
      <w:numPr>
        <w:ilvl w:val="0"/>
        <w:numId w:val="4"/>
      </w:numPr>
      <w:jc w:val="center"/>
      <w:textAlignment w:val="baseline"/>
    </w:pPr>
    <w:rPr>
      <w:rFonts w:ascii="黑体" w:hAnsi="Times New Roman" w:eastAsia="宋体" w:cs="Times New Roman"/>
      <w:kern w:val="21"/>
      <w:sz w:val="21"/>
      <w:lang w:val="en-US" w:eastAsia="zh-CN" w:bidi="ar-SA"/>
    </w:rPr>
  </w:style>
  <w:style w:type="paragraph" w:customStyle="1" w:styleId="33">
    <w:name w:val="终结线"/>
    <w:basedOn w:val="1"/>
    <w:qFormat/>
    <w:uiPriority w:val="99"/>
    <w:pPr>
      <w:framePr w:hSpace="181" w:vSpace="181" w:wrap="around" w:vAnchor="text" w:hAnchor="margin" w:xAlign="center" w:y="285"/>
    </w:pPr>
  </w:style>
  <w:style w:type="paragraph" w:customStyle="1" w:styleId="34">
    <w:name w:val="实施日期"/>
    <w:basedOn w:val="35"/>
    <w:qFormat/>
    <w:uiPriority w:val="99"/>
    <w:pPr>
      <w:framePr w:hSpace="0" w:vAnchor="text" w:hAnchor="text" w:xAlign="right"/>
      <w:jc w:val="right"/>
    </w:pPr>
  </w:style>
  <w:style w:type="paragraph" w:customStyle="1" w:styleId="35">
    <w:name w:val="发布日期"/>
    <w:qFormat/>
    <w:uiPriority w:val="99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36">
    <w:name w:val="其他发布部门"/>
    <w:basedOn w:val="37"/>
    <w:qFormat/>
    <w:uiPriority w:val="99"/>
    <w:pPr>
      <w:spacing w:line="240" w:lineRule="atLeast"/>
    </w:pPr>
    <w:rPr>
      <w:rFonts w:ascii="黑体" w:eastAsia="黑体"/>
      <w:b w:val="0"/>
    </w:rPr>
  </w:style>
  <w:style w:type="paragraph" w:customStyle="1" w:styleId="37">
    <w:name w:val="发布部门"/>
    <w:next w:val="18"/>
    <w:qFormat/>
    <w:uiPriority w:val="99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38">
    <w:name w:val="封面标准号2"/>
    <w:basedOn w:val="39"/>
    <w:qFormat/>
    <w:uiPriority w:val="99"/>
    <w:pPr>
      <w:framePr w:w="9138" w:h="1244" w:hRule="exact" w:wrap="around" w:vAnchor="page" w:hAnchor="margin" w:y="2908"/>
      <w:adjustRightInd w:val="0"/>
      <w:spacing w:before="357" w:line="280" w:lineRule="exact"/>
    </w:pPr>
  </w:style>
  <w:style w:type="paragraph" w:customStyle="1" w:styleId="39">
    <w:name w:val="封面标准号1"/>
    <w:qFormat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40">
    <w:name w:val="其他标准称谓"/>
    <w:qFormat/>
    <w:uiPriority w:val="99"/>
    <w:pPr>
      <w:spacing w:line="240" w:lineRule="atLeast"/>
      <w:jc w:val="distribute"/>
    </w:pPr>
    <w:rPr>
      <w:rFonts w:ascii="黑体" w:hAnsi="Times New Roman" w:eastAsia="宋体" w:cs="Times New Roman"/>
      <w:sz w:val="52"/>
      <w:lang w:val="en-US" w:eastAsia="zh-CN" w:bidi="ar-SA"/>
    </w:rPr>
  </w:style>
  <w:style w:type="paragraph" w:customStyle="1" w:styleId="41">
    <w:name w:val="标准标志"/>
    <w:next w:val="1"/>
    <w:qFormat/>
    <w:uiPriority w:val="99"/>
    <w:pPr>
      <w:framePr w:w="2268" w:h="1392" w:hRule="exact" w:wrap="around" w:vAnchor="margin" w:hAnchor="margin" w:x="6748" w:y="171" w:anchorLock="1"/>
      <w:shd w:val="solid" w:color="FFFFFF" w:fill="FFFFFF"/>
      <w:spacing w:line="24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42">
    <w:name w:val="封面标准名称"/>
    <w:qFormat/>
    <w:uiPriority w:val="99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宋体" w:cs="Times New Roman"/>
      <w:sz w:val="52"/>
      <w:lang w:val="en-US" w:eastAsia="zh-CN" w:bidi="ar-SA"/>
    </w:rPr>
  </w:style>
  <w:style w:type="paragraph" w:customStyle="1" w:styleId="43">
    <w:name w:val="标准书眉_奇数页"/>
    <w:next w:val="1"/>
    <w:qFormat/>
    <w:uiPriority w:val="99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4">
    <w:name w:val="标准书脚_奇数页"/>
    <w:qFormat/>
    <w:uiPriority w:val="99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46">
    <w:name w:val="fontstyle01"/>
    <w:basedOn w:val="12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6" Type="http://schemas.openxmlformats.org/officeDocument/2006/relationships/fontTable" Target="fontTable.xml"/><Relationship Id="rId65" Type="http://schemas.openxmlformats.org/officeDocument/2006/relationships/numbering" Target="numbering.xml"/><Relationship Id="rId64" Type="http://schemas.openxmlformats.org/officeDocument/2006/relationships/customXml" Target="../customXml/item1.xml"/><Relationship Id="rId63" Type="http://schemas.openxmlformats.org/officeDocument/2006/relationships/image" Target="media/image24.wmf"/><Relationship Id="rId62" Type="http://schemas.openxmlformats.org/officeDocument/2006/relationships/oleObject" Target="embeddings/oleObject25.bin"/><Relationship Id="rId61" Type="http://schemas.openxmlformats.org/officeDocument/2006/relationships/image" Target="media/image23.wmf"/><Relationship Id="rId60" Type="http://schemas.openxmlformats.org/officeDocument/2006/relationships/oleObject" Target="embeddings/oleObject24.bin"/><Relationship Id="rId6" Type="http://schemas.openxmlformats.org/officeDocument/2006/relationships/footer" Target="footer2.xml"/><Relationship Id="rId59" Type="http://schemas.openxmlformats.org/officeDocument/2006/relationships/image" Target="media/image22.wmf"/><Relationship Id="rId58" Type="http://schemas.openxmlformats.org/officeDocument/2006/relationships/oleObject" Target="embeddings/oleObject23.bin"/><Relationship Id="rId57" Type="http://schemas.openxmlformats.org/officeDocument/2006/relationships/image" Target="media/image21.wmf"/><Relationship Id="rId56" Type="http://schemas.openxmlformats.org/officeDocument/2006/relationships/oleObject" Target="embeddings/oleObject22.bin"/><Relationship Id="rId55" Type="http://schemas.openxmlformats.org/officeDocument/2006/relationships/image" Target="media/image20.wmf"/><Relationship Id="rId54" Type="http://schemas.openxmlformats.org/officeDocument/2006/relationships/oleObject" Target="embeddings/oleObject21.bin"/><Relationship Id="rId53" Type="http://schemas.openxmlformats.org/officeDocument/2006/relationships/image" Target="media/image19.wmf"/><Relationship Id="rId52" Type="http://schemas.openxmlformats.org/officeDocument/2006/relationships/oleObject" Target="embeddings/oleObject20.bin"/><Relationship Id="rId51" Type="http://schemas.openxmlformats.org/officeDocument/2006/relationships/image" Target="media/image18.wmf"/><Relationship Id="rId50" Type="http://schemas.openxmlformats.org/officeDocument/2006/relationships/oleObject" Target="embeddings/oleObject19.bin"/><Relationship Id="rId5" Type="http://schemas.openxmlformats.org/officeDocument/2006/relationships/footer" Target="footer1.xml"/><Relationship Id="rId49" Type="http://schemas.openxmlformats.org/officeDocument/2006/relationships/image" Target="media/image17.wmf"/><Relationship Id="rId48" Type="http://schemas.openxmlformats.org/officeDocument/2006/relationships/oleObject" Target="embeddings/oleObject18.bin"/><Relationship Id="rId47" Type="http://schemas.openxmlformats.org/officeDocument/2006/relationships/image" Target="media/image16.wmf"/><Relationship Id="rId46" Type="http://schemas.openxmlformats.org/officeDocument/2006/relationships/oleObject" Target="embeddings/oleObject17.bin"/><Relationship Id="rId45" Type="http://schemas.openxmlformats.org/officeDocument/2006/relationships/image" Target="media/image15.wmf"/><Relationship Id="rId44" Type="http://schemas.openxmlformats.org/officeDocument/2006/relationships/oleObject" Target="embeddings/oleObject16.bin"/><Relationship Id="rId43" Type="http://schemas.openxmlformats.org/officeDocument/2006/relationships/image" Target="media/image14.wmf"/><Relationship Id="rId42" Type="http://schemas.openxmlformats.org/officeDocument/2006/relationships/oleObject" Target="embeddings/oleObject15.bin"/><Relationship Id="rId41" Type="http://schemas.openxmlformats.org/officeDocument/2006/relationships/oleObject" Target="embeddings/oleObject14.bin"/><Relationship Id="rId40" Type="http://schemas.openxmlformats.org/officeDocument/2006/relationships/image" Target="media/image13.wmf"/><Relationship Id="rId4" Type="http://schemas.openxmlformats.org/officeDocument/2006/relationships/header" Target="header2.xml"/><Relationship Id="rId39" Type="http://schemas.openxmlformats.org/officeDocument/2006/relationships/oleObject" Target="embeddings/oleObject13.bin"/><Relationship Id="rId38" Type="http://schemas.openxmlformats.org/officeDocument/2006/relationships/image" Target="media/image12.wmf"/><Relationship Id="rId37" Type="http://schemas.openxmlformats.org/officeDocument/2006/relationships/oleObject" Target="embeddings/oleObject12.bin"/><Relationship Id="rId36" Type="http://schemas.openxmlformats.org/officeDocument/2006/relationships/image" Target="media/image11.wmf"/><Relationship Id="rId35" Type="http://schemas.openxmlformats.org/officeDocument/2006/relationships/oleObject" Target="embeddings/oleObject11.bin"/><Relationship Id="rId34" Type="http://schemas.openxmlformats.org/officeDocument/2006/relationships/image" Target="media/image10.wmf"/><Relationship Id="rId33" Type="http://schemas.openxmlformats.org/officeDocument/2006/relationships/oleObject" Target="embeddings/oleObject10.bin"/><Relationship Id="rId32" Type="http://schemas.openxmlformats.org/officeDocument/2006/relationships/image" Target="media/image9.wmf"/><Relationship Id="rId31" Type="http://schemas.openxmlformats.org/officeDocument/2006/relationships/oleObject" Target="embeddings/oleObject9.bin"/><Relationship Id="rId30" Type="http://schemas.openxmlformats.org/officeDocument/2006/relationships/image" Target="media/image8.wmf"/><Relationship Id="rId3" Type="http://schemas.openxmlformats.org/officeDocument/2006/relationships/header" Target="header1.xml"/><Relationship Id="rId29" Type="http://schemas.openxmlformats.org/officeDocument/2006/relationships/oleObject" Target="embeddings/oleObject8.bin"/><Relationship Id="rId28" Type="http://schemas.openxmlformats.org/officeDocument/2006/relationships/image" Target="media/image7.wmf"/><Relationship Id="rId27" Type="http://schemas.openxmlformats.org/officeDocument/2006/relationships/oleObject" Target="embeddings/oleObject7.bin"/><Relationship Id="rId26" Type="http://schemas.openxmlformats.org/officeDocument/2006/relationships/image" Target="media/image6.wmf"/><Relationship Id="rId25" Type="http://schemas.openxmlformats.org/officeDocument/2006/relationships/oleObject" Target="embeddings/oleObject6.bin"/><Relationship Id="rId24" Type="http://schemas.openxmlformats.org/officeDocument/2006/relationships/image" Target="media/image5.wmf"/><Relationship Id="rId23" Type="http://schemas.openxmlformats.org/officeDocument/2006/relationships/oleObject" Target="embeddings/oleObject5.bin"/><Relationship Id="rId22" Type="http://schemas.openxmlformats.org/officeDocument/2006/relationships/image" Target="media/image4.wmf"/><Relationship Id="rId21" Type="http://schemas.openxmlformats.org/officeDocument/2006/relationships/oleObject" Target="embeddings/oleObject4.bin"/><Relationship Id="rId20" Type="http://schemas.openxmlformats.org/officeDocument/2006/relationships/image" Target="media/image3.wmf"/><Relationship Id="rId2" Type="http://schemas.openxmlformats.org/officeDocument/2006/relationships/settings" Target="settings.xml"/><Relationship Id="rId19" Type="http://schemas.openxmlformats.org/officeDocument/2006/relationships/oleObject" Target="embeddings/oleObject3.bin"/><Relationship Id="rId18" Type="http://schemas.openxmlformats.org/officeDocument/2006/relationships/image" Target="media/image2.wmf"/><Relationship Id="rId17" Type="http://schemas.openxmlformats.org/officeDocument/2006/relationships/oleObject" Target="embeddings/oleObject2.bin"/><Relationship Id="rId16" Type="http://schemas.openxmlformats.org/officeDocument/2006/relationships/image" Target="media/image1.wmf"/><Relationship Id="rId15" Type="http://schemas.openxmlformats.org/officeDocument/2006/relationships/oleObject" Target="embeddings/oleObject1.bin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1100</Words>
  <Characters>6273</Characters>
  <Lines>52</Lines>
  <Paragraphs>14</Paragraphs>
  <TotalTime>39</TotalTime>
  <ScaleCrop>false</ScaleCrop>
  <LinksUpToDate>false</LinksUpToDate>
  <CharactersWithSpaces>7359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2020-09-21T01:02:00Z</dcterms:created>
  <dc:creator>Administrator</dc:creator>
  <cp:lastModifiedBy>user</cp:lastModifiedBy>
  <cp:lastPrinted>2021-09-10T01:39:00Z</cp:lastPrinted>
  <dcterms:modified xsi:type="dcterms:W3CDTF">2021-11-02T09:19:40Z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4164E548EA0D4AC48247DC0E9EA39739</vt:lpwstr>
  </property>
</Properties>
</file>