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cs="仿宋_GB2312" w:asciiTheme="majorEastAsia" w:hAnsiTheme="majorEastAsia" w:eastAsiaTheme="majorEastAsia"/>
          <w:sz w:val="44"/>
          <w:szCs w:val="44"/>
        </w:rPr>
      </w:pPr>
      <w:bookmarkStart w:id="0" w:name="_GoBack"/>
      <w:bookmarkEnd w:id="0"/>
      <w:r>
        <w:rPr>
          <w:rFonts w:hint="eastAsia" w:cs="仿宋_GB2312" w:asciiTheme="majorEastAsia" w:hAnsiTheme="majorEastAsia" w:eastAsiaTheme="majorEastAsia"/>
          <w:sz w:val="44"/>
          <w:szCs w:val="44"/>
        </w:rPr>
        <w:t>2022年宁江区耕地深松工作实施方案</w:t>
      </w:r>
    </w:p>
    <w:p>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（征求意见稿）</w:t>
      </w:r>
    </w:p>
    <w:p>
      <w:pPr>
        <w:spacing w:line="560" w:lineRule="exact"/>
        <w:ind w:firstLine="640" w:firstLineChars="200"/>
        <w:rPr>
          <w:rFonts w:ascii="仿宋" w:hAnsi="仿宋" w:eastAsia="仿宋"/>
          <w:color w:val="000000"/>
          <w:sz w:val="32"/>
          <w:szCs w:val="32"/>
        </w:rPr>
      </w:pPr>
    </w:p>
    <w:p>
      <w:pPr>
        <w:spacing w:line="560" w:lineRule="exact"/>
        <w:ind w:firstLine="640" w:firstLineChars="200"/>
        <w:rPr>
          <w:rFonts w:ascii="仿宋" w:hAnsi="仿宋" w:eastAsia="仿宋"/>
          <w:color w:val="000000"/>
          <w:sz w:val="32"/>
          <w:szCs w:val="32"/>
        </w:rPr>
      </w:pPr>
      <w:r>
        <w:rPr>
          <w:rFonts w:ascii="仿宋" w:hAnsi="仿宋" w:eastAsia="仿宋"/>
          <w:color w:val="000000"/>
          <w:sz w:val="32"/>
          <w:szCs w:val="32"/>
        </w:rPr>
        <w:t>按照</w:t>
      </w:r>
      <w:r>
        <w:rPr>
          <w:rFonts w:hint="eastAsia" w:ascii="仿宋" w:hAnsi="仿宋" w:eastAsia="仿宋"/>
          <w:color w:val="000000"/>
          <w:sz w:val="32"/>
          <w:szCs w:val="32"/>
        </w:rPr>
        <w:t>&lt;</w:t>
      </w:r>
      <w:r>
        <w:rPr>
          <w:rFonts w:ascii="仿宋" w:hAnsi="仿宋" w:eastAsia="仿宋"/>
          <w:color w:val="000000"/>
          <w:sz w:val="32"/>
          <w:szCs w:val="32"/>
        </w:rPr>
        <w:t>农业农村部</w:t>
      </w:r>
      <w:r>
        <w:rPr>
          <w:rFonts w:hint="eastAsia" w:ascii="仿宋" w:hAnsi="仿宋" w:eastAsia="仿宋"/>
          <w:color w:val="000000"/>
          <w:sz w:val="32"/>
          <w:szCs w:val="32"/>
        </w:rPr>
        <w:t xml:space="preserve"> </w:t>
      </w:r>
      <w:r>
        <w:rPr>
          <w:rFonts w:ascii="仿宋" w:hAnsi="仿宋" w:eastAsia="仿宋"/>
          <w:color w:val="000000"/>
          <w:sz w:val="32"/>
          <w:szCs w:val="32"/>
        </w:rPr>
        <w:t>财政部《关于做好2022年农业生产发展等项目实施工作的通知》</w:t>
      </w:r>
      <w:r>
        <w:rPr>
          <w:rFonts w:hint="eastAsia" w:ascii="仿宋" w:hAnsi="仿宋" w:eastAsia="仿宋"/>
          <w:color w:val="000000"/>
          <w:sz w:val="32"/>
          <w:szCs w:val="32"/>
        </w:rPr>
        <w:t>&gt;</w:t>
      </w:r>
      <w:r>
        <w:rPr>
          <w:rFonts w:ascii="仿宋" w:hAnsi="仿宋" w:eastAsia="仿宋"/>
          <w:color w:val="000000"/>
          <w:sz w:val="32"/>
          <w:szCs w:val="32"/>
        </w:rPr>
        <w:t>（农计财发〔2022〕13号）和</w:t>
      </w:r>
      <w:r>
        <w:rPr>
          <w:rFonts w:hint="eastAsia" w:ascii="仿宋" w:hAnsi="仿宋" w:eastAsia="仿宋"/>
          <w:color w:val="000000"/>
          <w:sz w:val="32"/>
          <w:szCs w:val="32"/>
        </w:rPr>
        <w:t>&lt;</w:t>
      </w:r>
      <w:r>
        <w:rPr>
          <w:rFonts w:ascii="仿宋" w:hAnsi="仿宋" w:eastAsia="仿宋"/>
          <w:color w:val="000000"/>
          <w:sz w:val="32"/>
          <w:szCs w:val="32"/>
        </w:rPr>
        <w:t>省农业农村厅</w:t>
      </w:r>
      <w:r>
        <w:rPr>
          <w:rFonts w:hint="eastAsia" w:ascii="仿宋" w:hAnsi="仿宋" w:eastAsia="仿宋"/>
          <w:color w:val="000000"/>
          <w:sz w:val="32"/>
          <w:szCs w:val="32"/>
        </w:rPr>
        <w:t xml:space="preserve"> </w:t>
      </w:r>
      <w:r>
        <w:rPr>
          <w:rFonts w:ascii="仿宋" w:hAnsi="仿宋" w:eastAsia="仿宋"/>
          <w:color w:val="000000"/>
          <w:sz w:val="32"/>
          <w:szCs w:val="32"/>
        </w:rPr>
        <w:t>省财政厅《关于下发2022年中央财政农业资源与生态保护补助项目实施方案（指南）的通知》</w:t>
      </w:r>
      <w:r>
        <w:rPr>
          <w:rFonts w:hint="eastAsia" w:ascii="仿宋" w:hAnsi="仿宋" w:eastAsia="仿宋"/>
          <w:color w:val="000000"/>
          <w:sz w:val="32"/>
          <w:szCs w:val="32"/>
        </w:rPr>
        <w:t>&gt;</w:t>
      </w:r>
      <w:r>
        <w:rPr>
          <w:rFonts w:ascii="仿宋" w:hAnsi="仿宋" w:eastAsia="仿宋"/>
          <w:color w:val="000000"/>
          <w:sz w:val="32"/>
          <w:szCs w:val="32"/>
        </w:rPr>
        <w:t>（吉农计财发〔2022〕4号）文件要求，为做好2022年</w:t>
      </w:r>
      <w:r>
        <w:rPr>
          <w:rFonts w:hint="eastAsia" w:ascii="仿宋" w:hAnsi="仿宋" w:eastAsia="仿宋"/>
          <w:color w:val="000000"/>
          <w:sz w:val="32"/>
          <w:szCs w:val="32"/>
        </w:rPr>
        <w:t>宁江区</w:t>
      </w:r>
      <w:r>
        <w:rPr>
          <w:rFonts w:ascii="仿宋" w:hAnsi="仿宋" w:eastAsia="仿宋"/>
          <w:color w:val="000000"/>
          <w:sz w:val="32"/>
          <w:szCs w:val="32"/>
        </w:rPr>
        <w:t>耕地深松项目实施工作，</w:t>
      </w:r>
      <w:r>
        <w:rPr>
          <w:rFonts w:hint="eastAsia" w:ascii="仿宋" w:hAnsi="仿宋" w:eastAsia="仿宋"/>
          <w:color w:val="000000"/>
          <w:sz w:val="32"/>
          <w:szCs w:val="32"/>
        </w:rPr>
        <w:t>特</w:t>
      </w:r>
      <w:r>
        <w:rPr>
          <w:rFonts w:ascii="仿宋" w:hAnsi="仿宋" w:eastAsia="仿宋"/>
          <w:color w:val="000000"/>
          <w:sz w:val="32"/>
          <w:szCs w:val="32"/>
        </w:rPr>
        <w:t>制定此方案：</w:t>
      </w:r>
    </w:p>
    <w:p>
      <w:pPr>
        <w:spacing w:line="560" w:lineRule="exact"/>
        <w:ind w:firstLine="640" w:firstLineChars="20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一、任务目标</w:t>
      </w:r>
    </w:p>
    <w:p>
      <w:pPr>
        <w:spacing w:line="560" w:lineRule="exact"/>
        <w:ind w:firstLine="640" w:firstLineChars="200"/>
        <w:rPr>
          <w:rFonts w:ascii="仿宋" w:hAnsi="仿宋" w:eastAsia="仿宋" w:cs="仿宋_GB2312"/>
          <w:color w:val="000000" w:themeColor="text1"/>
          <w:sz w:val="32"/>
          <w:szCs w:val="32"/>
          <w14:textFill>
            <w14:solidFill>
              <w14:schemeClr w14:val="tx1"/>
            </w14:solidFill>
          </w14:textFill>
        </w:rPr>
      </w:pPr>
      <w:r>
        <w:rPr>
          <w:rFonts w:hint="eastAsia" w:ascii="仿宋" w:hAnsi="仿宋" w:eastAsia="仿宋"/>
          <w:color w:val="000000"/>
          <w:kern w:val="0"/>
          <w:sz w:val="32"/>
          <w:szCs w:val="32"/>
        </w:rPr>
        <w:t>按照市农业农村局下发</w:t>
      </w:r>
      <w:r>
        <w:rPr>
          <w:rStyle w:val="7"/>
          <w:rFonts w:ascii="仿宋" w:hAnsi="仿宋" w:eastAsia="仿宋"/>
          <w:sz w:val="32"/>
          <w:szCs w:val="32"/>
        </w:rPr>
        <w:t>《</w:t>
      </w:r>
      <w:r>
        <w:rPr>
          <w:rStyle w:val="7"/>
          <w:rFonts w:hint="eastAsia" w:ascii="仿宋" w:hAnsi="仿宋" w:eastAsia="仿宋"/>
          <w:sz w:val="32"/>
          <w:szCs w:val="32"/>
        </w:rPr>
        <w:t>关于2022年中央财政农业资源与生态保护补助（耕地深松）项目资金分配函</w:t>
      </w:r>
      <w:r>
        <w:rPr>
          <w:rStyle w:val="7"/>
          <w:rFonts w:ascii="仿宋" w:hAnsi="仿宋" w:eastAsia="仿宋"/>
          <w:sz w:val="32"/>
          <w:szCs w:val="32"/>
        </w:rPr>
        <w:t>》</w:t>
      </w:r>
      <w:r>
        <w:rPr>
          <w:rFonts w:hint="eastAsia" w:ascii="仿宋" w:hAnsi="仿宋" w:eastAsia="仿宋"/>
          <w:color w:val="000000"/>
          <w:sz w:val="32"/>
          <w:szCs w:val="32"/>
        </w:rPr>
        <w:t>文件</w:t>
      </w:r>
      <w:r>
        <w:rPr>
          <w:rFonts w:hint="eastAsia" w:ascii="仿宋" w:hAnsi="仿宋" w:eastAsia="仿宋" w:cs="仿宋_GB2312"/>
          <w:color w:val="000000" w:themeColor="text1"/>
          <w:sz w:val="32"/>
          <w:szCs w:val="32"/>
          <w14:textFill>
            <w14:solidFill>
              <w14:schemeClr w14:val="tx1"/>
            </w14:solidFill>
          </w14:textFill>
        </w:rPr>
        <w:t>，2022年度我区耕地深松项目绩效目标为4.5万亩。</w:t>
      </w:r>
    </w:p>
    <w:p>
      <w:pPr>
        <w:spacing w:line="560" w:lineRule="exact"/>
        <w:ind w:firstLine="640" w:firstLineChars="20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二、实施条件</w:t>
      </w:r>
    </w:p>
    <w:p>
      <w:pPr>
        <w:spacing w:line="560" w:lineRule="exact"/>
        <w:ind w:firstLine="640" w:firstLineChars="200"/>
        <w:rPr>
          <w:rFonts w:ascii="楷体" w:hAnsi="楷体" w:eastAsia="楷体" w:cs="楷体_GB2312"/>
          <w:color w:val="000000" w:themeColor="text1"/>
          <w:sz w:val="32"/>
          <w:szCs w:val="32"/>
          <w14:textFill>
            <w14:solidFill>
              <w14:schemeClr w14:val="tx1"/>
            </w14:solidFill>
          </w14:textFill>
        </w:rPr>
      </w:pPr>
      <w:r>
        <w:rPr>
          <w:rFonts w:hint="eastAsia" w:ascii="楷体" w:hAnsi="楷体" w:eastAsia="楷体" w:cs="楷体_GB2312"/>
          <w:color w:val="000000" w:themeColor="text1"/>
          <w:sz w:val="32"/>
          <w:szCs w:val="32"/>
          <w14:textFill>
            <w14:solidFill>
              <w14:schemeClr w14:val="tx1"/>
            </w14:solidFill>
          </w14:textFill>
        </w:rPr>
        <w:t>（</w:t>
      </w:r>
      <w:r>
        <w:rPr>
          <w:rFonts w:hint="eastAsia" w:ascii="楷体" w:hAnsi="楷体" w:eastAsia="楷体" w:cs="宋体"/>
          <w:color w:val="000000" w:themeColor="text1"/>
          <w:sz w:val="32"/>
          <w:szCs w:val="32"/>
          <w14:textFill>
            <w14:solidFill>
              <w14:schemeClr w14:val="tx1"/>
            </w14:solidFill>
          </w14:textFill>
        </w:rPr>
        <w:t>一</w:t>
      </w:r>
      <w:r>
        <w:rPr>
          <w:rFonts w:hint="eastAsia" w:ascii="楷体" w:hAnsi="楷体" w:eastAsia="楷体" w:cs="Malgun Gothic Semilight"/>
          <w:color w:val="000000" w:themeColor="text1"/>
          <w:sz w:val="32"/>
          <w:szCs w:val="32"/>
          <w14:textFill>
            <w14:solidFill>
              <w14:schemeClr w14:val="tx1"/>
            </w14:solidFill>
          </w14:textFill>
        </w:rPr>
        <w:t>）</w:t>
      </w:r>
      <w:r>
        <w:rPr>
          <w:rFonts w:hint="eastAsia" w:ascii="楷体" w:hAnsi="楷体" w:eastAsia="楷体" w:cs="宋体"/>
          <w:color w:val="000000" w:themeColor="text1"/>
          <w:sz w:val="32"/>
          <w:szCs w:val="32"/>
          <w14:textFill>
            <w14:solidFill>
              <w14:schemeClr w14:val="tx1"/>
            </w14:solidFill>
          </w14:textFill>
        </w:rPr>
        <w:t>实施范围</w:t>
      </w:r>
    </w:p>
    <w:p>
      <w:pPr>
        <w:spacing w:line="560" w:lineRule="exact"/>
        <w:ind w:firstLine="640" w:firstLineChars="200"/>
        <w:rPr>
          <w:rFonts w:hint="eastAsia" w:ascii="仿宋" w:hAnsi="仿宋" w:eastAsia="仿宋" w:cs="仿宋_GB2312"/>
          <w:color w:val="000000" w:themeColor="text1"/>
          <w:sz w:val="32"/>
          <w:szCs w:val="32"/>
          <w:lang w:eastAsia="zh-CN"/>
          <w14:textFill>
            <w14:solidFill>
              <w14:schemeClr w14:val="tx1"/>
            </w14:solidFill>
          </w14:textFill>
        </w:rPr>
      </w:pPr>
      <w:r>
        <w:rPr>
          <w:rFonts w:hint="eastAsia" w:ascii="仿宋" w:hAnsi="仿宋" w:eastAsia="仿宋" w:cs="仿宋_GB2312"/>
          <w:color w:val="000000" w:themeColor="text1"/>
          <w:sz w:val="32"/>
          <w:szCs w:val="32"/>
          <w14:textFill>
            <w14:solidFill>
              <w14:schemeClr w14:val="tx1"/>
            </w14:solidFill>
          </w14:textFill>
        </w:rPr>
        <w:t>根据各乡镇上报，2022年宁江区耕地深松项目任务重点安排</w:t>
      </w:r>
      <w:r>
        <w:rPr>
          <w:rFonts w:hint="eastAsia" w:ascii="仿宋" w:hAnsi="仿宋" w:eastAsia="仿宋" w:cs="仿宋_GB2312"/>
          <w:color w:val="000000" w:themeColor="text1"/>
          <w:sz w:val="32"/>
          <w:szCs w:val="32"/>
          <w:lang w:eastAsia="zh-CN"/>
          <w14:textFill>
            <w14:solidFill>
              <w14:schemeClr w14:val="tx1"/>
            </w14:solidFill>
          </w14:textFill>
        </w:rPr>
        <w:t>大洼镇、伯都乡、善友镇、新城乡。</w:t>
      </w:r>
    </w:p>
    <w:p>
      <w:pPr>
        <w:spacing w:line="560" w:lineRule="exact"/>
        <w:ind w:firstLine="640" w:firstLineChars="200"/>
        <w:rPr>
          <w:rFonts w:ascii="楷体" w:hAnsi="楷体" w:eastAsia="楷体" w:cs="楷体_GB2312"/>
          <w:color w:val="000000" w:themeColor="text1"/>
          <w:sz w:val="32"/>
          <w:szCs w:val="32"/>
          <w14:textFill>
            <w14:solidFill>
              <w14:schemeClr w14:val="tx1"/>
            </w14:solidFill>
          </w14:textFill>
        </w:rPr>
      </w:pPr>
      <w:r>
        <w:rPr>
          <w:rFonts w:hint="eastAsia" w:ascii="楷体" w:hAnsi="楷体" w:eastAsia="楷体" w:cs="楷体_GB2312"/>
          <w:color w:val="000000" w:themeColor="text1"/>
          <w:sz w:val="32"/>
          <w:szCs w:val="32"/>
          <w14:textFill>
            <w14:solidFill>
              <w14:schemeClr w14:val="tx1"/>
            </w14:solidFill>
          </w14:textFill>
        </w:rPr>
        <w:t>（</w:t>
      </w:r>
      <w:r>
        <w:rPr>
          <w:rFonts w:hint="eastAsia" w:ascii="楷体" w:hAnsi="楷体" w:eastAsia="楷体" w:cs="宋体"/>
          <w:color w:val="000000" w:themeColor="text1"/>
          <w:sz w:val="32"/>
          <w:szCs w:val="32"/>
          <w14:textFill>
            <w14:solidFill>
              <w14:schemeClr w14:val="tx1"/>
            </w14:solidFill>
          </w14:textFill>
        </w:rPr>
        <w:t>二</w:t>
      </w:r>
      <w:r>
        <w:rPr>
          <w:rFonts w:hint="eastAsia" w:ascii="楷体" w:hAnsi="楷体" w:eastAsia="楷体" w:cs="Malgun Gothic Semilight"/>
          <w:color w:val="000000" w:themeColor="text1"/>
          <w:sz w:val="32"/>
          <w:szCs w:val="32"/>
          <w14:textFill>
            <w14:solidFill>
              <w14:schemeClr w14:val="tx1"/>
            </w14:solidFill>
          </w14:textFill>
        </w:rPr>
        <w:t>）</w:t>
      </w:r>
      <w:r>
        <w:rPr>
          <w:rFonts w:hint="eastAsia" w:ascii="楷体" w:hAnsi="楷体" w:eastAsia="楷体" w:cs="宋体"/>
          <w:color w:val="000000" w:themeColor="text1"/>
          <w:sz w:val="32"/>
          <w:szCs w:val="32"/>
          <w14:textFill>
            <w14:solidFill>
              <w14:schemeClr w14:val="tx1"/>
            </w14:solidFill>
          </w14:textFill>
        </w:rPr>
        <w:t>技术要求</w:t>
      </w:r>
    </w:p>
    <w:p>
      <w:pPr>
        <w:widowControl/>
        <w:spacing w:line="560" w:lineRule="exact"/>
        <w:ind w:firstLine="643" w:firstLineChars="200"/>
        <w:rPr>
          <w:rFonts w:ascii="仿宋" w:hAnsi="仿宋" w:eastAsia="仿宋" w:cs="仿宋_GB2312"/>
          <w:color w:val="000000" w:themeColor="text1"/>
          <w:sz w:val="32"/>
          <w:szCs w:val="32"/>
          <w14:textFill>
            <w14:solidFill>
              <w14:schemeClr w14:val="tx1"/>
            </w14:solidFill>
          </w14:textFill>
        </w:rPr>
      </w:pPr>
      <w:r>
        <w:rPr>
          <w:rFonts w:hint="eastAsia" w:ascii="仿宋" w:hAnsi="仿宋" w:eastAsia="仿宋" w:cs="仿宋_GB2312"/>
          <w:b/>
          <w:color w:val="000000" w:themeColor="text1"/>
          <w:sz w:val="32"/>
          <w:szCs w:val="32"/>
          <w14:textFill>
            <w14:solidFill>
              <w14:schemeClr w14:val="tx1"/>
            </w14:solidFill>
          </w14:textFill>
        </w:rPr>
        <w:t>1.作业时段。</w:t>
      </w:r>
      <w:r>
        <w:rPr>
          <w:rFonts w:hint="eastAsia" w:ascii="仿宋" w:hAnsi="仿宋" w:eastAsia="仿宋" w:cs="仿宋_GB2312"/>
          <w:color w:val="000000" w:themeColor="text1"/>
          <w:sz w:val="32"/>
          <w:szCs w:val="32"/>
          <w14:textFill>
            <w14:solidFill>
              <w14:schemeClr w14:val="tx1"/>
            </w14:solidFill>
          </w14:textFill>
        </w:rPr>
        <w:t>2022年全区耕地深松项目实施安排在2个时段进行，分别为春季秋季，其中对秋季耕地深松作业实施补助，春季作业不予补助。</w:t>
      </w:r>
    </w:p>
    <w:p>
      <w:pPr>
        <w:widowControl/>
        <w:spacing w:line="560" w:lineRule="exact"/>
        <w:ind w:firstLine="643" w:firstLineChars="200"/>
        <w:rPr>
          <w:rFonts w:ascii="仿宋" w:hAnsi="仿宋" w:eastAsia="仿宋" w:cs="仿宋_GB2312"/>
          <w:color w:val="000000" w:themeColor="text1"/>
          <w:sz w:val="32"/>
          <w:szCs w:val="32"/>
          <w14:textFill>
            <w14:solidFill>
              <w14:schemeClr w14:val="tx1"/>
            </w14:solidFill>
          </w14:textFill>
        </w:rPr>
      </w:pPr>
      <w:r>
        <w:rPr>
          <w:rFonts w:hint="eastAsia" w:ascii="仿宋" w:hAnsi="仿宋" w:eastAsia="仿宋" w:cs="仿宋_GB2312"/>
          <w:b/>
          <w:color w:val="000000" w:themeColor="text1"/>
          <w:sz w:val="32"/>
          <w:szCs w:val="32"/>
          <w14:textFill>
            <w14:solidFill>
              <w14:schemeClr w14:val="tx1"/>
            </w14:solidFill>
          </w14:textFill>
        </w:rPr>
        <w:t>2.质量要求。</w:t>
      </w:r>
      <w:r>
        <w:rPr>
          <w:rFonts w:hint="eastAsia" w:ascii="仿宋" w:hAnsi="仿宋" w:eastAsia="仿宋" w:cs="仿宋_GB2312"/>
          <w:color w:val="000000" w:themeColor="text1"/>
          <w:sz w:val="32"/>
          <w:szCs w:val="32"/>
          <w14:textFill>
            <w14:solidFill>
              <w14:schemeClr w14:val="tx1"/>
            </w14:solidFill>
          </w14:textFill>
        </w:rPr>
        <w:t>春季深松作业时段，深松作业深度</w:t>
      </w:r>
      <w:r>
        <w:rPr>
          <w:rFonts w:hint="eastAsia" w:ascii="仿宋" w:hAnsi="仿宋" w:eastAsia="仿宋" w:cs="方正仿宋_GBK"/>
          <w:color w:val="000000" w:themeColor="text1"/>
          <w:sz w:val="32"/>
          <w:szCs w:val="32"/>
          <w14:textFill>
            <w14:solidFill>
              <w14:schemeClr w14:val="tx1"/>
            </w14:solidFill>
          </w14:textFill>
        </w:rPr>
        <w:t>≥</w:t>
      </w:r>
      <w:r>
        <w:rPr>
          <w:rFonts w:hint="eastAsia" w:ascii="仿宋" w:hAnsi="仿宋" w:eastAsia="仿宋" w:cs="仿宋_GB2312"/>
          <w:color w:val="000000" w:themeColor="text1"/>
          <w:sz w:val="32"/>
          <w:szCs w:val="32"/>
          <w14:textFill>
            <w14:solidFill>
              <w14:schemeClr w14:val="tx1"/>
            </w14:solidFill>
          </w14:textFill>
        </w:rPr>
        <w:t>25厘米的作业面积作为任务完成数量统计，不予补助；秋季深松作业时段，对深松作业深度</w:t>
      </w:r>
      <w:r>
        <w:rPr>
          <w:rFonts w:hint="eastAsia" w:ascii="仿宋" w:hAnsi="仿宋" w:eastAsia="仿宋" w:cs="方正仿宋_GBK"/>
          <w:color w:val="000000" w:themeColor="text1"/>
          <w:sz w:val="32"/>
          <w:szCs w:val="32"/>
          <w14:textFill>
            <w14:solidFill>
              <w14:schemeClr w14:val="tx1"/>
            </w14:solidFill>
          </w14:textFill>
        </w:rPr>
        <w:t>≥</w:t>
      </w:r>
      <w:r>
        <w:rPr>
          <w:rFonts w:hint="eastAsia" w:ascii="仿宋" w:hAnsi="仿宋" w:eastAsia="仿宋" w:cs="仿宋_GB2312"/>
          <w:color w:val="000000" w:themeColor="text1"/>
          <w:sz w:val="32"/>
          <w:szCs w:val="32"/>
          <w14:textFill>
            <w14:solidFill>
              <w14:schemeClr w14:val="tx1"/>
            </w14:solidFill>
          </w14:textFill>
        </w:rPr>
        <w:t>30厘米的作业面积给予补助，</w:t>
      </w:r>
      <w:r>
        <w:rPr>
          <w:rFonts w:ascii="仿宋" w:hAnsi="仿宋" w:eastAsia="仿宋" w:cs="仿宋_GB2312"/>
          <w:color w:val="000000"/>
          <w:sz w:val="32"/>
          <w:szCs w:val="32"/>
        </w:rPr>
        <w:t>25</w:t>
      </w:r>
      <w:r>
        <w:rPr>
          <w:rFonts w:hint="eastAsia" w:ascii="仿宋" w:hAnsi="仿宋" w:eastAsia="仿宋" w:cs="仿宋_GB2312"/>
          <w:color w:val="000000"/>
          <w:sz w:val="32"/>
          <w:szCs w:val="32"/>
        </w:rPr>
        <w:t>厘米≤作业深度≤30厘米，作为任务完成面积统计，不给予作业补助。</w:t>
      </w:r>
      <w:r>
        <w:rPr>
          <w:rFonts w:hint="eastAsia" w:ascii="仿宋" w:hAnsi="仿宋" w:eastAsia="仿宋" w:cs="仿宋_GB2312"/>
          <w:color w:val="000000" w:themeColor="text1"/>
          <w:sz w:val="32"/>
          <w:szCs w:val="32"/>
          <w14:textFill>
            <w14:solidFill>
              <w14:schemeClr w14:val="tx1"/>
            </w14:solidFill>
          </w14:textFill>
        </w:rPr>
        <w:t>正常深松作业，机具入土出土、规避障碍物等所产生的深度不足的面积，视为合格作业面积（深松深度合格率须</w:t>
      </w:r>
      <w:r>
        <w:rPr>
          <w:rFonts w:hint="eastAsia" w:ascii="仿宋" w:hAnsi="仿宋" w:eastAsia="仿宋" w:cs="方正仿宋_GBK"/>
          <w:color w:val="000000" w:themeColor="text1"/>
          <w:sz w:val="32"/>
          <w:szCs w:val="32"/>
          <w14:textFill>
            <w14:solidFill>
              <w14:schemeClr w14:val="tx1"/>
            </w14:solidFill>
          </w14:textFill>
        </w:rPr>
        <w:t>≥</w:t>
      </w:r>
      <w:r>
        <w:rPr>
          <w:rFonts w:hint="eastAsia" w:ascii="仿宋" w:hAnsi="仿宋" w:eastAsia="仿宋" w:cs="仿宋_GB2312"/>
          <w:color w:val="000000" w:themeColor="text1"/>
          <w:sz w:val="32"/>
          <w:szCs w:val="32"/>
          <w14:textFill>
            <w14:solidFill>
              <w14:schemeClr w14:val="tx1"/>
            </w14:solidFill>
          </w14:textFill>
        </w:rPr>
        <w:t>90%）。</w:t>
      </w:r>
    </w:p>
    <w:p>
      <w:pPr>
        <w:widowControl/>
        <w:spacing w:line="560" w:lineRule="exact"/>
        <w:ind w:firstLine="643" w:firstLineChars="200"/>
        <w:rPr>
          <w:rFonts w:ascii="仿宋" w:hAnsi="仿宋" w:eastAsia="仿宋" w:cs="仿宋_GB2312"/>
          <w:color w:val="000000" w:themeColor="text1"/>
          <w:sz w:val="32"/>
          <w:szCs w:val="32"/>
          <w14:textFill>
            <w14:solidFill>
              <w14:schemeClr w14:val="tx1"/>
            </w14:solidFill>
          </w14:textFill>
        </w:rPr>
      </w:pPr>
      <w:r>
        <w:rPr>
          <w:rFonts w:ascii="仿宋" w:hAnsi="仿宋" w:eastAsia="仿宋"/>
          <w:b/>
          <w:color w:val="000000" w:themeColor="text1"/>
          <w:sz w:val="32"/>
          <w:szCs w:val="32"/>
          <w14:textFill>
            <w14:solidFill>
              <w14:schemeClr w14:val="tx1"/>
            </w14:solidFill>
          </w14:textFill>
        </w:rPr>
        <w:t>3.机</w:t>
      </w:r>
      <w:r>
        <w:rPr>
          <w:rFonts w:hint="eastAsia" w:ascii="仿宋" w:hAnsi="仿宋" w:eastAsia="仿宋" w:cs="仿宋_GB2312"/>
          <w:b/>
          <w:color w:val="000000" w:themeColor="text1"/>
          <w:sz w:val="32"/>
          <w:szCs w:val="32"/>
          <w14:textFill>
            <w14:solidFill>
              <w14:schemeClr w14:val="tx1"/>
            </w14:solidFill>
          </w14:textFill>
        </w:rPr>
        <w:t>具选择。</w:t>
      </w:r>
      <w:r>
        <w:rPr>
          <w:rFonts w:hint="eastAsia" w:ascii="仿宋" w:hAnsi="仿宋" w:eastAsia="仿宋" w:cs="仿宋_GB2312"/>
          <w:color w:val="000000" w:themeColor="text1"/>
          <w:sz w:val="32"/>
          <w:szCs w:val="32"/>
          <w14:textFill>
            <w14:solidFill>
              <w14:schemeClr w14:val="tx1"/>
            </w14:solidFill>
          </w14:textFill>
        </w:rPr>
        <w:t>所用作业机具须为通过相关部门推广鉴定的产品，相邻两深松工作部件间距配置合理，符合当地农艺要求，可加装碎土、弥平部件，逐步淘汰无翼铲的纯凿式深松机，以提高作业质量。苗期深松作业机具机架的高度要保证作物通过性，避免伤苗。</w:t>
      </w:r>
    </w:p>
    <w:p>
      <w:pPr>
        <w:spacing w:line="560" w:lineRule="exact"/>
        <w:ind w:firstLine="640" w:firstLineChars="20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三、补助对象</w:t>
      </w:r>
    </w:p>
    <w:p>
      <w:pPr>
        <w:spacing w:line="560" w:lineRule="exact"/>
        <w:ind w:firstLine="640" w:firstLineChars="200"/>
        <w:rPr>
          <w:rFonts w:ascii="仿宋" w:hAnsi="仿宋" w:eastAsia="仿宋" w:cs="仿宋_GB2312"/>
          <w:color w:val="000000" w:themeColor="text1"/>
          <w:sz w:val="32"/>
          <w:szCs w:val="32"/>
          <w14:textFill>
            <w14:solidFill>
              <w14:schemeClr w14:val="tx1"/>
            </w14:solidFill>
          </w14:textFill>
        </w:rPr>
      </w:pPr>
      <w:r>
        <w:rPr>
          <w:rFonts w:hint="eastAsia" w:ascii="仿宋" w:hAnsi="仿宋" w:eastAsia="仿宋" w:cs="仿宋_GB2312"/>
          <w:color w:val="000000" w:themeColor="text1"/>
          <w:sz w:val="32"/>
          <w:szCs w:val="32"/>
          <w14:textFill>
            <w14:solidFill>
              <w14:schemeClr w14:val="tx1"/>
            </w14:solidFill>
          </w14:textFill>
        </w:rPr>
        <w:t>2022年宁江区耕地深松项目补助对象为基础条件好、服务能力强、作业质量优且拥有的一定数量深松机具的新型农业生产经营主体、农机合作社、农机大户等实施耕地深松作业。</w:t>
      </w:r>
    </w:p>
    <w:p>
      <w:pPr>
        <w:spacing w:line="560" w:lineRule="exact"/>
        <w:ind w:firstLine="640" w:firstLineChars="20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四、补助标准</w:t>
      </w:r>
    </w:p>
    <w:p>
      <w:pPr>
        <w:pStyle w:val="2"/>
        <w:spacing w:line="560" w:lineRule="exact"/>
        <w:ind w:firstLine="640"/>
        <w:rPr>
          <w:rFonts w:ascii="仿宋" w:hAnsi="仿宋" w:eastAsia="仿宋" w:cs="仿宋_GB2312"/>
          <w:color w:val="000000" w:themeColor="text1"/>
          <w14:textFill>
            <w14:solidFill>
              <w14:schemeClr w14:val="tx1"/>
            </w14:solidFill>
          </w14:textFill>
        </w:rPr>
      </w:pPr>
      <w:r>
        <w:rPr>
          <w:rFonts w:hint="eastAsia" w:ascii="仿宋" w:hAnsi="仿宋" w:eastAsia="仿宋" w:cs="仿宋_GB2312"/>
          <w:color w:val="000000" w:themeColor="text1"/>
          <w14:textFill>
            <w14:solidFill>
              <w14:schemeClr w14:val="tx1"/>
            </w14:solidFill>
          </w14:textFill>
        </w:rPr>
        <w:t>2022年耕地深松项目补助标准实行最高限额制，秋季深松作业补助上限均为每亩不超过25元，补助资金发放采取“先作业后补助、先公示后兑现”的方式，手续齐全、公示无异议后兑付，不得以现金形式发放。</w:t>
      </w:r>
    </w:p>
    <w:p>
      <w:pPr>
        <w:spacing w:line="560" w:lineRule="exact"/>
        <w:ind w:firstLine="640" w:firstLineChars="20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五、实施要求</w:t>
      </w:r>
    </w:p>
    <w:p>
      <w:pPr>
        <w:widowControl/>
        <w:spacing w:line="560" w:lineRule="exact"/>
        <w:ind w:firstLine="640" w:firstLineChars="200"/>
        <w:rPr>
          <w:rFonts w:ascii="仿宋" w:hAnsi="仿宋" w:eastAsia="仿宋"/>
          <w:sz w:val="32"/>
          <w:szCs w:val="32"/>
        </w:rPr>
      </w:pPr>
      <w:r>
        <w:rPr>
          <w:rFonts w:hint="eastAsia" w:ascii="楷体" w:hAnsi="楷体" w:eastAsia="楷体" w:cs="楷体_GB2312"/>
          <w:color w:val="000000" w:themeColor="text1"/>
          <w:sz w:val="32"/>
          <w:szCs w:val="32"/>
          <w14:textFill>
            <w14:solidFill>
              <w14:schemeClr w14:val="tx1"/>
            </w14:solidFill>
          </w14:textFill>
        </w:rPr>
        <w:t>（</w:t>
      </w:r>
      <w:r>
        <w:rPr>
          <w:rFonts w:hint="eastAsia" w:ascii="楷体" w:hAnsi="楷体" w:eastAsia="楷体" w:cs="宋体"/>
          <w:color w:val="000000" w:themeColor="text1"/>
          <w:sz w:val="32"/>
          <w:szCs w:val="32"/>
          <w14:textFill>
            <w14:solidFill>
              <w14:schemeClr w14:val="tx1"/>
            </w14:solidFill>
          </w14:textFill>
        </w:rPr>
        <w:t>一</w:t>
      </w:r>
      <w:r>
        <w:rPr>
          <w:rFonts w:hint="eastAsia" w:ascii="楷体" w:hAnsi="楷体" w:eastAsia="楷体" w:cs="Malgun Gothic Semilight"/>
          <w:color w:val="000000" w:themeColor="text1"/>
          <w:sz w:val="32"/>
          <w:szCs w:val="32"/>
          <w14:textFill>
            <w14:solidFill>
              <w14:schemeClr w14:val="tx1"/>
            </w14:solidFill>
          </w14:textFill>
        </w:rPr>
        <w:t>）</w:t>
      </w:r>
      <w:r>
        <w:rPr>
          <w:rFonts w:hint="eastAsia" w:ascii="楷体" w:hAnsi="楷体" w:eastAsia="楷体" w:cs="宋体"/>
          <w:color w:val="000000" w:themeColor="text1"/>
          <w:sz w:val="32"/>
          <w:szCs w:val="32"/>
          <w14:textFill>
            <w14:solidFill>
              <w14:schemeClr w14:val="tx1"/>
            </w14:solidFill>
          </w14:textFill>
        </w:rPr>
        <w:t>加强组织领导</w:t>
      </w:r>
      <w:r>
        <w:rPr>
          <w:rFonts w:hint="eastAsia" w:ascii="楷体" w:hAnsi="楷体" w:eastAsia="楷体" w:cs="Malgun Gothic Semilight"/>
          <w:color w:val="000000" w:themeColor="text1"/>
          <w:sz w:val="32"/>
          <w:szCs w:val="32"/>
          <w14:textFill>
            <w14:solidFill>
              <w14:schemeClr w14:val="tx1"/>
            </w14:solidFill>
          </w14:textFill>
        </w:rPr>
        <w:t>。</w:t>
      </w:r>
      <w:r>
        <w:rPr>
          <w:rFonts w:hint="eastAsia" w:ascii="仿宋" w:hAnsi="仿宋" w:eastAsia="仿宋" w:cs="仿宋_GB2312"/>
          <w:color w:val="000000" w:themeColor="text1"/>
          <w:sz w:val="32"/>
          <w:szCs w:val="32"/>
          <w14:textFill>
            <w14:solidFill>
              <w14:schemeClr w14:val="tx1"/>
            </w14:solidFill>
          </w14:textFill>
        </w:rPr>
        <w:t>宁江区政府是耕地深松项目的实施主体和责任主体，成立由农业农村、农机、财政等相关部门共同参与的领导小组，负责方案制定、任务分配、组织发动、宣传培训、指导服务、检查验收、资金兑付等重要事项的决策和落实，各部门要各司其责、紧密配合，</w:t>
      </w:r>
      <w:r>
        <w:rPr>
          <w:rFonts w:ascii="仿宋" w:hAnsi="仿宋" w:eastAsia="仿宋"/>
          <w:color w:val="000000"/>
          <w:kern w:val="0"/>
          <w:sz w:val="32"/>
          <w:szCs w:val="32"/>
        </w:rPr>
        <w:t>确保项目</w:t>
      </w:r>
      <w:r>
        <w:rPr>
          <w:rFonts w:hint="eastAsia" w:ascii="仿宋" w:hAnsi="仿宋" w:eastAsia="仿宋"/>
          <w:color w:val="000000"/>
          <w:kern w:val="0"/>
          <w:sz w:val="32"/>
          <w:szCs w:val="32"/>
        </w:rPr>
        <w:t>稳步有序实施</w:t>
      </w:r>
      <w:r>
        <w:rPr>
          <w:rFonts w:ascii="仿宋" w:hAnsi="仿宋" w:eastAsia="仿宋"/>
          <w:color w:val="000000"/>
          <w:kern w:val="0"/>
          <w:sz w:val="32"/>
          <w:szCs w:val="32"/>
        </w:rPr>
        <w:t>。</w:t>
      </w:r>
    </w:p>
    <w:p>
      <w:pPr>
        <w:widowControl/>
        <w:spacing w:line="560" w:lineRule="exact"/>
        <w:ind w:firstLine="640" w:firstLineChars="200"/>
        <w:rPr>
          <w:rFonts w:ascii="仿宋" w:hAnsi="仿宋" w:eastAsia="仿宋"/>
          <w:sz w:val="32"/>
          <w:szCs w:val="32"/>
        </w:rPr>
      </w:pPr>
      <w:r>
        <w:rPr>
          <w:rFonts w:hint="eastAsia" w:ascii="楷体" w:hAnsi="楷体" w:eastAsia="楷体" w:cs="楷体_GB2312"/>
          <w:color w:val="000000" w:themeColor="text1"/>
          <w:sz w:val="32"/>
          <w:szCs w:val="32"/>
          <w14:textFill>
            <w14:solidFill>
              <w14:schemeClr w14:val="tx1"/>
            </w14:solidFill>
          </w14:textFill>
        </w:rPr>
        <w:t>（</w:t>
      </w:r>
      <w:r>
        <w:rPr>
          <w:rFonts w:hint="eastAsia" w:ascii="楷体" w:hAnsi="楷体" w:eastAsia="楷体" w:cs="宋体"/>
          <w:color w:val="000000" w:themeColor="text1"/>
          <w:sz w:val="32"/>
          <w:szCs w:val="32"/>
          <w14:textFill>
            <w14:solidFill>
              <w14:schemeClr w14:val="tx1"/>
            </w14:solidFill>
          </w14:textFill>
        </w:rPr>
        <w:t>二</w:t>
      </w:r>
      <w:r>
        <w:rPr>
          <w:rFonts w:hint="eastAsia" w:ascii="楷体" w:hAnsi="楷体" w:eastAsia="楷体" w:cs="Malgun Gothic Semilight"/>
          <w:color w:val="000000" w:themeColor="text1"/>
          <w:sz w:val="32"/>
          <w:szCs w:val="32"/>
          <w14:textFill>
            <w14:solidFill>
              <w14:schemeClr w14:val="tx1"/>
            </w14:solidFill>
          </w14:textFill>
        </w:rPr>
        <w:t>）</w:t>
      </w:r>
      <w:r>
        <w:rPr>
          <w:rFonts w:hint="eastAsia" w:ascii="楷体" w:hAnsi="楷体" w:eastAsia="楷体" w:cs="宋体"/>
          <w:color w:val="000000" w:themeColor="text1"/>
          <w:sz w:val="32"/>
          <w:szCs w:val="32"/>
          <w14:textFill>
            <w14:solidFill>
              <w14:schemeClr w14:val="tx1"/>
            </w14:solidFill>
          </w14:textFill>
        </w:rPr>
        <w:t>强化推动落实</w:t>
      </w:r>
      <w:r>
        <w:rPr>
          <w:rFonts w:hint="eastAsia" w:ascii="楷体" w:hAnsi="楷体" w:eastAsia="楷体" w:cs="Malgun Gothic Semilight"/>
          <w:color w:val="000000" w:themeColor="text1"/>
          <w:sz w:val="32"/>
          <w:szCs w:val="32"/>
          <w14:textFill>
            <w14:solidFill>
              <w14:schemeClr w14:val="tx1"/>
            </w14:solidFill>
          </w14:textFill>
        </w:rPr>
        <w:t>。</w:t>
      </w:r>
      <w:r>
        <w:rPr>
          <w:rFonts w:hint="eastAsia" w:ascii="仿宋" w:hAnsi="仿宋" w:eastAsia="仿宋"/>
          <w:color w:val="000000"/>
          <w:kern w:val="0"/>
          <w:sz w:val="32"/>
          <w:szCs w:val="32"/>
        </w:rPr>
        <w:t>各项目乡镇要</w:t>
      </w:r>
      <w:r>
        <w:rPr>
          <w:rFonts w:ascii="仿宋" w:hAnsi="仿宋" w:eastAsia="仿宋"/>
          <w:color w:val="000000"/>
          <w:kern w:val="0"/>
          <w:sz w:val="32"/>
          <w:szCs w:val="32"/>
        </w:rPr>
        <w:t>提早谋划，狠抓落实，</w:t>
      </w:r>
      <w:r>
        <w:rPr>
          <w:rFonts w:hint="eastAsia" w:ascii="仿宋" w:hAnsi="仿宋" w:eastAsia="仿宋" w:cs="仿宋_GB2312"/>
          <w:color w:val="000000" w:themeColor="text1"/>
          <w:sz w:val="32"/>
          <w:szCs w:val="32"/>
          <w14:textFill>
            <w14:solidFill>
              <w14:schemeClr w14:val="tx1"/>
            </w14:solidFill>
          </w14:textFill>
        </w:rPr>
        <w:t>结合当地实际选择确定深松作业时段，要加强宣传引导，</w:t>
      </w:r>
      <w:r>
        <w:rPr>
          <w:rFonts w:ascii="仿宋" w:hAnsi="仿宋" w:eastAsia="仿宋"/>
          <w:color w:val="000000"/>
          <w:kern w:val="0"/>
          <w:sz w:val="32"/>
          <w:szCs w:val="32"/>
        </w:rPr>
        <w:t>充分调动农业生产经营组织的作业积极性</w:t>
      </w:r>
      <w:r>
        <w:rPr>
          <w:rFonts w:hint="eastAsia" w:ascii="仿宋" w:hAnsi="仿宋" w:eastAsia="仿宋" w:cs="仿宋_GB2312"/>
          <w:color w:val="000000" w:themeColor="text1"/>
          <w:sz w:val="32"/>
          <w:szCs w:val="32"/>
          <w14:textFill>
            <w14:solidFill>
              <w14:schemeClr w14:val="tx1"/>
            </w14:solidFill>
          </w14:textFill>
        </w:rPr>
        <w:t>，合理调度农业机械，科学组织生产作业，保进度、保面积、保质量。</w:t>
      </w:r>
    </w:p>
    <w:p>
      <w:pPr>
        <w:spacing w:line="560" w:lineRule="exact"/>
        <w:ind w:firstLine="640" w:firstLineChars="200"/>
        <w:rPr>
          <w:rFonts w:ascii="仿宋" w:hAnsi="仿宋" w:eastAsia="仿宋" w:cs="宋体"/>
          <w:color w:val="000000" w:themeColor="text1"/>
          <w:sz w:val="32"/>
          <w:szCs w:val="32"/>
          <w14:textFill>
            <w14:solidFill>
              <w14:schemeClr w14:val="tx1"/>
            </w14:solidFill>
          </w14:textFill>
        </w:rPr>
      </w:pPr>
      <w:r>
        <w:rPr>
          <w:rFonts w:hint="eastAsia" w:ascii="楷体" w:hAnsi="楷体" w:eastAsia="楷体" w:cs="楷体_GB2312"/>
          <w:color w:val="000000" w:themeColor="text1"/>
          <w:sz w:val="32"/>
          <w:szCs w:val="32"/>
          <w14:textFill>
            <w14:solidFill>
              <w14:schemeClr w14:val="tx1"/>
            </w14:solidFill>
          </w14:textFill>
        </w:rPr>
        <w:t>（</w:t>
      </w:r>
      <w:r>
        <w:rPr>
          <w:rFonts w:hint="eastAsia" w:ascii="楷体" w:hAnsi="楷体" w:eastAsia="楷体" w:cs="宋体"/>
          <w:color w:val="000000" w:themeColor="text1"/>
          <w:sz w:val="32"/>
          <w:szCs w:val="32"/>
          <w14:textFill>
            <w14:solidFill>
              <w14:schemeClr w14:val="tx1"/>
            </w14:solidFill>
          </w14:textFill>
        </w:rPr>
        <w:t>三</w:t>
      </w:r>
      <w:r>
        <w:rPr>
          <w:rFonts w:hint="eastAsia" w:ascii="楷体" w:hAnsi="楷体" w:eastAsia="楷体" w:cs="Malgun Gothic Semilight"/>
          <w:color w:val="000000" w:themeColor="text1"/>
          <w:sz w:val="32"/>
          <w:szCs w:val="32"/>
          <w14:textFill>
            <w14:solidFill>
              <w14:schemeClr w14:val="tx1"/>
            </w14:solidFill>
          </w14:textFill>
        </w:rPr>
        <w:t>）</w:t>
      </w:r>
      <w:r>
        <w:rPr>
          <w:rFonts w:hint="eastAsia" w:ascii="楷体" w:hAnsi="楷体" w:eastAsia="楷体" w:cs="宋体"/>
          <w:color w:val="000000" w:themeColor="text1"/>
          <w:sz w:val="32"/>
          <w:szCs w:val="32"/>
          <w14:textFill>
            <w14:solidFill>
              <w14:schemeClr w14:val="tx1"/>
            </w14:solidFill>
          </w14:textFill>
        </w:rPr>
        <w:t>规范资金使用</w:t>
      </w:r>
      <w:r>
        <w:rPr>
          <w:rFonts w:hint="eastAsia" w:ascii="楷体" w:hAnsi="楷体" w:eastAsia="楷体" w:cs="Malgun Gothic Semilight"/>
          <w:color w:val="000000" w:themeColor="text1"/>
          <w:sz w:val="32"/>
          <w:szCs w:val="32"/>
          <w14:textFill>
            <w14:solidFill>
              <w14:schemeClr w14:val="tx1"/>
            </w14:solidFill>
          </w14:textFill>
        </w:rPr>
        <w:t>。</w:t>
      </w:r>
      <w:r>
        <w:rPr>
          <w:rFonts w:hint="eastAsia" w:ascii="仿宋" w:hAnsi="仿宋" w:eastAsia="仿宋" w:cs="楷体_GB2312"/>
          <w:color w:val="000000" w:themeColor="text1"/>
          <w:sz w:val="32"/>
          <w:szCs w:val="32"/>
          <w14:textFill>
            <w14:solidFill>
              <w14:schemeClr w14:val="tx1"/>
            </w14:solidFill>
          </w14:textFill>
        </w:rPr>
        <w:t>2022</w:t>
      </w:r>
      <w:r>
        <w:rPr>
          <w:rFonts w:hint="eastAsia" w:ascii="仿宋" w:hAnsi="仿宋" w:eastAsia="仿宋" w:cs="仿宋_GB2312"/>
          <w:color w:val="000000" w:themeColor="text1"/>
          <w:sz w:val="32"/>
          <w:szCs w:val="32"/>
          <w14:textFill>
            <w14:solidFill>
              <w14:schemeClr w14:val="tx1"/>
            </w14:solidFill>
          </w14:textFill>
        </w:rPr>
        <w:t>年耕地深松补助资金原则上当年资金当年使用，结转结余的按照结转结余资金管理相关规定处理。各</w:t>
      </w:r>
      <w:r>
        <w:rPr>
          <w:rFonts w:hint="eastAsia" w:ascii="仿宋" w:hAnsi="仿宋" w:eastAsia="仿宋" w:cs="仿宋_GB2312"/>
          <w:color w:val="000000"/>
          <w:sz w:val="32"/>
          <w:szCs w:val="32"/>
        </w:rPr>
        <w:t>项目乡镇请于2022年11月中旬前，对本地</w:t>
      </w:r>
      <w:r>
        <w:rPr>
          <w:rFonts w:hint="eastAsia" w:ascii="仿宋" w:hAnsi="仿宋" w:eastAsia="仿宋" w:cs="仿宋_GB2312"/>
          <w:color w:val="000000" w:themeColor="text1"/>
          <w:sz w:val="32"/>
          <w:szCs w:val="32"/>
          <w14:textFill>
            <w14:solidFill>
              <w14:schemeClr w14:val="tx1"/>
            </w14:solidFill>
          </w14:textFill>
        </w:rPr>
        <w:t>耕地深松</w:t>
      </w:r>
      <w:r>
        <w:rPr>
          <w:rFonts w:hint="eastAsia" w:ascii="仿宋" w:hAnsi="仿宋" w:eastAsia="仿宋" w:cs="仿宋_GB2312"/>
          <w:color w:val="000000"/>
          <w:sz w:val="32"/>
          <w:szCs w:val="32"/>
        </w:rPr>
        <w:t>作业补助面积进行全面核实，并将核实结果上报区农机局。区农机局汇总后，向区财政局提出补助资金申请，区财政局将根据区农机局提供的资金拨付申请拨付资金。</w:t>
      </w:r>
    </w:p>
    <w:p>
      <w:pPr>
        <w:spacing w:line="560" w:lineRule="exact"/>
        <w:ind w:firstLine="640" w:firstLineChars="200"/>
        <w:rPr>
          <w:rFonts w:ascii="仿宋" w:hAnsi="仿宋" w:eastAsia="仿宋" w:cs="仿宋_GB2312"/>
          <w:color w:val="000000"/>
          <w:sz w:val="32"/>
          <w:szCs w:val="32"/>
        </w:rPr>
      </w:pPr>
      <w:r>
        <w:rPr>
          <w:rFonts w:hint="eastAsia" w:ascii="楷体" w:hAnsi="楷体" w:eastAsia="楷体" w:cs="楷体_GB2312"/>
          <w:color w:val="000000" w:themeColor="text1"/>
          <w:sz w:val="32"/>
          <w:szCs w:val="32"/>
          <w14:textFill>
            <w14:solidFill>
              <w14:schemeClr w14:val="tx1"/>
            </w14:solidFill>
          </w14:textFill>
        </w:rPr>
        <w:t>（</w:t>
      </w:r>
      <w:r>
        <w:rPr>
          <w:rFonts w:hint="eastAsia" w:ascii="楷体" w:hAnsi="楷体" w:eastAsia="楷体" w:cs="宋体"/>
          <w:color w:val="000000" w:themeColor="text1"/>
          <w:sz w:val="32"/>
          <w:szCs w:val="32"/>
          <w14:textFill>
            <w14:solidFill>
              <w14:schemeClr w14:val="tx1"/>
            </w14:solidFill>
          </w14:textFill>
        </w:rPr>
        <w:t>四</w:t>
      </w:r>
      <w:r>
        <w:rPr>
          <w:rFonts w:hint="eastAsia" w:ascii="楷体" w:hAnsi="楷体" w:eastAsia="楷体" w:cs="Malgun Gothic Semilight"/>
          <w:color w:val="000000" w:themeColor="text1"/>
          <w:sz w:val="32"/>
          <w:szCs w:val="32"/>
          <w14:textFill>
            <w14:solidFill>
              <w14:schemeClr w14:val="tx1"/>
            </w14:solidFill>
          </w14:textFill>
        </w:rPr>
        <w:t>）</w:t>
      </w:r>
      <w:r>
        <w:rPr>
          <w:rFonts w:hint="eastAsia" w:ascii="楷体" w:hAnsi="楷体" w:eastAsia="楷体" w:cs="宋体"/>
          <w:color w:val="000000"/>
          <w:sz w:val="32"/>
          <w:szCs w:val="32"/>
        </w:rPr>
        <w:t>及时调度总结</w:t>
      </w:r>
      <w:r>
        <w:rPr>
          <w:rFonts w:hint="eastAsia" w:ascii="楷体" w:hAnsi="楷体" w:eastAsia="楷体" w:cs="Malgun Gothic Semilight"/>
          <w:color w:val="000000"/>
          <w:sz w:val="32"/>
          <w:szCs w:val="32"/>
        </w:rPr>
        <w:t>。</w:t>
      </w:r>
      <w:r>
        <w:rPr>
          <w:rFonts w:hint="eastAsia" w:ascii="仿宋" w:hAnsi="仿宋" w:eastAsia="仿宋" w:cs="仿宋_GB2312"/>
          <w:color w:val="000000"/>
          <w:sz w:val="32"/>
          <w:szCs w:val="32"/>
        </w:rPr>
        <w:t>要按照国家和省里相关文件要求，由区农机和财政部门及时调度、统计、报送项目进展情况，在规定时限内将实施方案、备案表、执行进度、工作总结及绩效自评报告等，以正式文件上报省耕地深松项目主管部门。</w:t>
      </w:r>
    </w:p>
    <w:p>
      <w:pPr>
        <w:spacing w:line="560" w:lineRule="exact"/>
        <w:ind w:firstLine="640" w:firstLineChars="20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六、监管措施</w:t>
      </w:r>
    </w:p>
    <w:p>
      <w:pPr>
        <w:spacing w:line="560" w:lineRule="exact"/>
        <w:ind w:firstLine="640" w:firstLineChars="200"/>
        <w:rPr>
          <w:rFonts w:ascii="仿宋" w:hAnsi="仿宋" w:eastAsia="仿宋" w:cs="仿宋_GB2312"/>
          <w:color w:val="000000" w:themeColor="text1"/>
          <w:sz w:val="32"/>
          <w:szCs w:val="32"/>
          <w14:textFill>
            <w14:solidFill>
              <w14:schemeClr w14:val="tx1"/>
            </w14:solidFill>
          </w14:textFill>
        </w:rPr>
      </w:pPr>
      <w:r>
        <w:rPr>
          <w:rFonts w:hint="eastAsia" w:ascii="楷体" w:hAnsi="楷体" w:eastAsia="楷体" w:cs="楷体_GB2312"/>
          <w:color w:val="000000" w:themeColor="text1"/>
          <w:sz w:val="32"/>
          <w:szCs w:val="32"/>
          <w14:textFill>
            <w14:solidFill>
              <w14:schemeClr w14:val="tx1"/>
            </w14:solidFill>
          </w14:textFill>
        </w:rPr>
        <w:t>（</w:t>
      </w:r>
      <w:r>
        <w:rPr>
          <w:rFonts w:hint="eastAsia" w:ascii="楷体" w:hAnsi="楷体" w:eastAsia="楷体" w:cs="宋体"/>
          <w:color w:val="000000" w:themeColor="text1"/>
          <w:sz w:val="32"/>
          <w:szCs w:val="32"/>
          <w14:textFill>
            <w14:solidFill>
              <w14:schemeClr w14:val="tx1"/>
            </w14:solidFill>
          </w14:textFill>
        </w:rPr>
        <w:t>一</w:t>
      </w:r>
      <w:r>
        <w:rPr>
          <w:rFonts w:hint="eastAsia" w:ascii="楷体" w:hAnsi="楷体" w:eastAsia="楷体" w:cs="Malgun Gothic Semilight"/>
          <w:color w:val="000000" w:themeColor="text1"/>
          <w:sz w:val="32"/>
          <w:szCs w:val="32"/>
          <w14:textFill>
            <w14:solidFill>
              <w14:schemeClr w14:val="tx1"/>
            </w14:solidFill>
          </w14:textFill>
        </w:rPr>
        <w:t>）</w:t>
      </w:r>
      <w:r>
        <w:rPr>
          <w:rFonts w:hint="eastAsia" w:ascii="楷体" w:hAnsi="楷体" w:eastAsia="楷体" w:cs="宋体"/>
          <w:color w:val="000000" w:themeColor="text1"/>
          <w:sz w:val="32"/>
          <w:szCs w:val="32"/>
          <w14:textFill>
            <w14:solidFill>
              <w14:schemeClr w14:val="tx1"/>
            </w14:solidFill>
          </w14:textFill>
        </w:rPr>
        <w:t>加强信息化技术监测</w:t>
      </w:r>
      <w:r>
        <w:rPr>
          <w:rFonts w:hint="eastAsia" w:ascii="楷体" w:hAnsi="楷体" w:eastAsia="楷体" w:cs="Malgun Gothic Semilight"/>
          <w:color w:val="000000" w:themeColor="text1"/>
          <w:sz w:val="32"/>
          <w:szCs w:val="32"/>
          <w14:textFill>
            <w14:solidFill>
              <w14:schemeClr w14:val="tx1"/>
            </w14:solidFill>
          </w14:textFill>
        </w:rPr>
        <w:t>。</w:t>
      </w:r>
      <w:r>
        <w:rPr>
          <w:rFonts w:hint="eastAsia" w:ascii="仿宋" w:hAnsi="仿宋" w:eastAsia="仿宋" w:cs="仿宋_GB2312"/>
          <w:color w:val="000000" w:themeColor="text1"/>
          <w:sz w:val="32"/>
          <w:szCs w:val="32"/>
          <w14:textFill>
            <w14:solidFill>
              <w14:schemeClr w14:val="tx1"/>
            </w14:solidFill>
          </w14:textFill>
        </w:rPr>
        <w:t>全区耕地深松项目补助实行远程电子监测信息化管理，以远程电子监测数据作为耕地深松检查验收和补助资金发放的重要参考依据。对存在异议、实名举报的，以相关部门组成的调查组现场核验结果为准。</w:t>
      </w:r>
    </w:p>
    <w:p>
      <w:pPr>
        <w:spacing w:line="560" w:lineRule="exact"/>
        <w:ind w:firstLine="640" w:firstLineChars="200"/>
        <w:rPr>
          <w:rFonts w:ascii="仿宋" w:hAnsi="仿宋" w:eastAsia="仿宋"/>
          <w:color w:val="000000"/>
          <w:sz w:val="32"/>
          <w:szCs w:val="32"/>
        </w:rPr>
      </w:pPr>
      <w:r>
        <w:rPr>
          <w:rFonts w:hint="eastAsia" w:ascii="楷体" w:hAnsi="楷体" w:eastAsia="楷体" w:cs="仿宋_GB2312"/>
          <w:color w:val="000000" w:themeColor="text1"/>
          <w:sz w:val="32"/>
          <w:szCs w:val="32"/>
          <w14:textFill>
            <w14:solidFill>
              <w14:schemeClr w14:val="tx1"/>
            </w14:solidFill>
          </w14:textFill>
        </w:rPr>
        <w:t>（二）加强监督管理。</w:t>
      </w:r>
      <w:r>
        <w:rPr>
          <w:rFonts w:ascii="仿宋" w:hAnsi="仿宋" w:eastAsia="仿宋"/>
          <w:color w:val="000000"/>
          <w:sz w:val="32"/>
          <w:szCs w:val="32"/>
        </w:rPr>
        <w:t>各项目</w:t>
      </w:r>
      <w:r>
        <w:rPr>
          <w:rFonts w:hint="eastAsia" w:ascii="仿宋" w:hAnsi="仿宋" w:eastAsia="仿宋"/>
          <w:color w:val="000000"/>
          <w:sz w:val="32"/>
          <w:szCs w:val="32"/>
        </w:rPr>
        <w:t>乡镇</w:t>
      </w:r>
      <w:r>
        <w:rPr>
          <w:rFonts w:ascii="仿宋" w:hAnsi="仿宋" w:eastAsia="仿宋"/>
          <w:color w:val="000000"/>
          <w:sz w:val="32"/>
          <w:szCs w:val="32"/>
        </w:rPr>
        <w:t>作业期内要</w:t>
      </w:r>
      <w:r>
        <w:rPr>
          <w:rFonts w:hint="eastAsia" w:ascii="仿宋" w:hAnsi="仿宋" w:eastAsia="仿宋"/>
          <w:color w:val="000000"/>
          <w:sz w:val="32"/>
          <w:szCs w:val="32"/>
        </w:rPr>
        <w:t>设立</w:t>
      </w:r>
      <w:r>
        <w:rPr>
          <w:rFonts w:ascii="仿宋" w:hAnsi="仿宋" w:eastAsia="仿宋"/>
          <w:color w:val="000000"/>
          <w:sz w:val="32"/>
          <w:szCs w:val="32"/>
        </w:rPr>
        <w:t>专岗、指定专人对深松平台加强日常监督管理，增加监测平台浏览的次数，每天及时查看辖区内作业进展情况，如发现问题（单车日作业量较大、速度过快等），要及时向乡镇主管领导汇报，组织人员深入实地进行核查。</w:t>
      </w:r>
      <w:r>
        <w:rPr>
          <w:rFonts w:hint="eastAsia" w:ascii="仿宋" w:hAnsi="仿宋" w:eastAsia="仿宋"/>
          <w:color w:val="000000"/>
          <w:sz w:val="32"/>
          <w:szCs w:val="32"/>
        </w:rPr>
        <w:t>农机</w:t>
      </w:r>
      <w:r>
        <w:rPr>
          <w:rFonts w:ascii="仿宋" w:hAnsi="仿宋" w:eastAsia="仿宋"/>
          <w:color w:val="000000"/>
          <w:sz w:val="32"/>
          <w:szCs w:val="32"/>
        </w:rPr>
        <w:t>部门要加强项目执行定期调度和督导指导，财政部门要及时掌握项目执行和资金使用情况，发现问题及时妥善处理，重大事项要及时向耕地深松项目</w:t>
      </w:r>
      <w:r>
        <w:rPr>
          <w:rFonts w:hint="eastAsia" w:ascii="仿宋" w:hAnsi="仿宋" w:eastAsia="仿宋"/>
          <w:color w:val="000000"/>
          <w:sz w:val="32"/>
          <w:szCs w:val="32"/>
        </w:rPr>
        <w:t>区</w:t>
      </w:r>
      <w:r>
        <w:rPr>
          <w:rFonts w:ascii="仿宋" w:hAnsi="仿宋" w:eastAsia="仿宋"/>
          <w:color w:val="000000"/>
          <w:sz w:val="32"/>
          <w:szCs w:val="32"/>
        </w:rPr>
        <w:t>级主管部门报告。要加快预算执行，提高资金使用效益，按照相关规定及时足额将补助资金兑付给补助对象，对弄虚作假、套取补助资金等违法违规行为，按程序依法依规处理。</w:t>
      </w:r>
    </w:p>
    <w:p>
      <w:pPr>
        <w:spacing w:line="560" w:lineRule="exact"/>
        <w:rPr>
          <w:rFonts w:ascii="仿宋" w:hAnsi="仿宋" w:eastAsia="仿宋" w:cs="仿宋_GB2312"/>
          <w:sz w:val="32"/>
          <w:szCs w:val="32"/>
        </w:rPr>
      </w:pP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附件：2022年宁江区耕地深松工作领导小组</w:t>
      </w:r>
    </w:p>
    <w:p>
      <w:pPr>
        <w:spacing w:line="576" w:lineRule="exact"/>
        <w:ind w:firstLine="680"/>
        <w:rPr>
          <w:rFonts w:ascii="仿宋" w:hAnsi="仿宋" w:eastAsia="仿宋"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p>
    <w:p>
      <w:pPr>
        <w:spacing w:line="660" w:lineRule="exact"/>
        <w:ind w:firstLine="440" w:firstLineChars="100"/>
        <w:jc w:val="center"/>
        <w:rPr>
          <w:rFonts w:asciiTheme="majorEastAsia" w:hAnsiTheme="majorEastAsia" w:eastAsiaTheme="majorEastAsia"/>
          <w:color w:val="000000"/>
          <w:kern w:val="0"/>
          <w:sz w:val="44"/>
          <w:szCs w:val="44"/>
        </w:rPr>
      </w:pPr>
      <w:r>
        <w:rPr>
          <w:rFonts w:hint="eastAsia" w:asciiTheme="majorEastAsia" w:hAnsiTheme="majorEastAsia" w:eastAsiaTheme="majorEastAsia"/>
          <w:color w:val="000000"/>
          <w:kern w:val="0"/>
          <w:sz w:val="44"/>
          <w:szCs w:val="44"/>
        </w:rPr>
        <w:t>2022年宁江区</w:t>
      </w:r>
      <w:r>
        <w:rPr>
          <w:rFonts w:hint="eastAsia" w:cs="仿宋_GB2312" w:asciiTheme="majorEastAsia" w:hAnsiTheme="majorEastAsia" w:eastAsiaTheme="majorEastAsia"/>
          <w:sz w:val="44"/>
          <w:szCs w:val="44"/>
        </w:rPr>
        <w:t>耕地深松工作</w:t>
      </w:r>
    </w:p>
    <w:p>
      <w:pPr>
        <w:spacing w:line="660" w:lineRule="exact"/>
        <w:ind w:firstLine="440" w:firstLineChars="100"/>
        <w:jc w:val="center"/>
        <w:rPr>
          <w:rFonts w:asciiTheme="majorEastAsia" w:hAnsiTheme="majorEastAsia" w:eastAsiaTheme="majorEastAsia"/>
          <w:color w:val="000000"/>
          <w:kern w:val="0"/>
          <w:sz w:val="44"/>
          <w:szCs w:val="44"/>
        </w:rPr>
      </w:pPr>
      <w:r>
        <w:rPr>
          <w:rFonts w:hint="eastAsia" w:asciiTheme="majorEastAsia" w:hAnsiTheme="majorEastAsia" w:eastAsiaTheme="majorEastAsia"/>
          <w:color w:val="000000"/>
          <w:kern w:val="0"/>
          <w:sz w:val="44"/>
          <w:szCs w:val="44"/>
        </w:rPr>
        <w:t>领导小组名单</w:t>
      </w:r>
    </w:p>
    <w:p>
      <w:pPr>
        <w:spacing w:line="660" w:lineRule="exact"/>
        <w:ind w:firstLine="420" w:firstLineChars="200"/>
        <w:rPr>
          <w:rFonts w:ascii="仿宋" w:hAnsi="仿宋" w:eastAsia="仿宋"/>
          <w:color w:val="000000"/>
          <w:kern w:val="0"/>
          <w:szCs w:val="32"/>
        </w:rPr>
      </w:pPr>
    </w:p>
    <w:p>
      <w:pPr>
        <w:spacing w:line="660" w:lineRule="exact"/>
        <w:ind w:firstLine="1600" w:firstLineChars="500"/>
        <w:rPr>
          <w:rFonts w:ascii="仿宋" w:hAnsi="仿宋" w:eastAsia="仿宋"/>
          <w:color w:val="000000"/>
          <w:kern w:val="0"/>
          <w:sz w:val="32"/>
          <w:szCs w:val="32"/>
        </w:rPr>
      </w:pPr>
      <w:r>
        <w:rPr>
          <w:rFonts w:hint="eastAsia" w:ascii="仿宋" w:hAnsi="仿宋" w:eastAsia="仿宋"/>
          <w:color w:val="000000"/>
          <w:kern w:val="0"/>
          <w:sz w:val="32"/>
          <w:szCs w:val="32"/>
        </w:rPr>
        <w:t>组  长：刘  博  区政府 副区长</w:t>
      </w:r>
    </w:p>
    <w:p>
      <w:pPr>
        <w:spacing w:line="660" w:lineRule="exact"/>
        <w:ind w:firstLine="1600" w:firstLineChars="500"/>
        <w:rPr>
          <w:rFonts w:ascii="仿宋" w:hAnsi="仿宋" w:eastAsia="仿宋"/>
          <w:color w:val="000000"/>
          <w:kern w:val="0"/>
          <w:sz w:val="32"/>
          <w:szCs w:val="32"/>
        </w:rPr>
      </w:pPr>
      <w:r>
        <w:rPr>
          <w:rFonts w:hint="eastAsia" w:ascii="仿宋" w:hAnsi="仿宋" w:eastAsia="仿宋"/>
          <w:color w:val="000000"/>
          <w:kern w:val="0"/>
          <w:sz w:val="32"/>
          <w:szCs w:val="32"/>
        </w:rPr>
        <w:t>副组长：王宇光  农机局 局  长</w:t>
      </w:r>
    </w:p>
    <w:p>
      <w:pPr>
        <w:spacing w:line="660" w:lineRule="exact"/>
        <w:ind w:firstLine="1600" w:firstLineChars="500"/>
        <w:rPr>
          <w:rFonts w:ascii="仿宋" w:hAnsi="仿宋" w:eastAsia="仿宋"/>
          <w:color w:val="000000"/>
          <w:kern w:val="0"/>
          <w:sz w:val="32"/>
          <w:szCs w:val="32"/>
        </w:rPr>
      </w:pPr>
      <w:r>
        <w:rPr>
          <w:rFonts w:hint="eastAsia" w:ascii="仿宋" w:hAnsi="仿宋" w:eastAsia="仿宋"/>
          <w:color w:val="000000"/>
          <w:kern w:val="0"/>
          <w:sz w:val="32"/>
          <w:szCs w:val="32"/>
        </w:rPr>
        <w:t xml:space="preserve">        马忠义  农业农村局 局长</w:t>
      </w:r>
    </w:p>
    <w:p>
      <w:pPr>
        <w:spacing w:line="660" w:lineRule="exact"/>
        <w:ind w:firstLine="2880" w:firstLineChars="900"/>
        <w:rPr>
          <w:rFonts w:ascii="仿宋" w:hAnsi="仿宋" w:eastAsia="仿宋"/>
          <w:color w:val="000000"/>
          <w:kern w:val="0"/>
          <w:sz w:val="32"/>
          <w:szCs w:val="32"/>
        </w:rPr>
      </w:pPr>
      <w:r>
        <w:rPr>
          <w:rFonts w:hint="eastAsia" w:ascii="仿宋" w:hAnsi="仿宋" w:eastAsia="仿宋"/>
          <w:color w:val="000000"/>
          <w:kern w:val="0"/>
          <w:sz w:val="32"/>
          <w:szCs w:val="32"/>
        </w:rPr>
        <w:t>陈立群  财政局 局长</w:t>
      </w:r>
    </w:p>
    <w:p>
      <w:pPr>
        <w:spacing w:line="660" w:lineRule="exact"/>
        <w:ind w:firstLine="1600" w:firstLineChars="500"/>
        <w:rPr>
          <w:rFonts w:ascii="仿宋" w:hAnsi="仿宋" w:eastAsia="仿宋"/>
          <w:color w:val="000000"/>
          <w:kern w:val="0"/>
          <w:sz w:val="32"/>
          <w:szCs w:val="32"/>
        </w:rPr>
      </w:pPr>
      <w:r>
        <w:rPr>
          <w:rFonts w:hint="eastAsia" w:ascii="仿宋" w:hAnsi="仿宋" w:eastAsia="仿宋"/>
          <w:color w:val="000000"/>
          <w:kern w:val="0"/>
          <w:sz w:val="32"/>
          <w:szCs w:val="32"/>
        </w:rPr>
        <w:t>成  员：</w:t>
      </w:r>
      <w:r>
        <w:rPr>
          <w:rFonts w:hint="eastAsia" w:ascii="仿宋" w:hAnsi="仿宋" w:eastAsia="仿宋"/>
          <w:color w:val="000000"/>
          <w:kern w:val="0"/>
          <w:sz w:val="32"/>
          <w:szCs w:val="32"/>
          <w:lang w:eastAsia="zh-CN"/>
        </w:rPr>
        <w:t>袁子龙</w:t>
      </w:r>
      <w:r>
        <w:rPr>
          <w:rFonts w:hint="eastAsia" w:ascii="仿宋" w:hAnsi="仿宋" w:eastAsia="仿宋"/>
          <w:color w:val="FF0000"/>
          <w:kern w:val="0"/>
          <w:sz w:val="32"/>
          <w:szCs w:val="32"/>
        </w:rPr>
        <w:t xml:space="preserve"> </w:t>
      </w:r>
      <w:r>
        <w:rPr>
          <w:rFonts w:hint="eastAsia" w:ascii="仿宋" w:hAnsi="仿宋" w:eastAsia="仿宋"/>
          <w:color w:val="000000"/>
          <w:kern w:val="0"/>
          <w:sz w:val="32"/>
          <w:szCs w:val="32"/>
        </w:rPr>
        <w:t xml:space="preserve"> 大洼镇 镇长</w:t>
      </w:r>
    </w:p>
    <w:p>
      <w:pPr>
        <w:spacing w:line="660" w:lineRule="exact"/>
        <w:ind w:firstLine="2880" w:firstLineChars="900"/>
        <w:rPr>
          <w:rFonts w:ascii="仿宋" w:hAnsi="仿宋" w:eastAsia="仿宋"/>
          <w:color w:val="000000"/>
          <w:kern w:val="0"/>
          <w:sz w:val="32"/>
          <w:szCs w:val="32"/>
        </w:rPr>
      </w:pPr>
      <w:r>
        <w:rPr>
          <w:rFonts w:hint="eastAsia" w:ascii="仿宋" w:hAnsi="仿宋" w:eastAsia="仿宋"/>
          <w:color w:val="000000" w:themeColor="text1"/>
          <w:kern w:val="0"/>
          <w:sz w:val="32"/>
          <w:szCs w:val="32"/>
          <w:lang w:eastAsia="zh-CN"/>
          <w14:textFill>
            <w14:solidFill>
              <w14:schemeClr w14:val="tx1"/>
            </w14:solidFill>
          </w14:textFill>
        </w:rPr>
        <w:t>李治禹</w:t>
      </w:r>
      <w:r>
        <w:rPr>
          <w:rFonts w:hint="eastAsia" w:ascii="仿宋" w:hAnsi="仿宋" w:eastAsia="仿宋"/>
          <w:color w:val="FF0000"/>
          <w:kern w:val="0"/>
          <w:sz w:val="32"/>
          <w:szCs w:val="32"/>
        </w:rPr>
        <w:t xml:space="preserve"> </w:t>
      </w:r>
      <w:r>
        <w:rPr>
          <w:rFonts w:hint="eastAsia" w:ascii="仿宋" w:hAnsi="仿宋" w:eastAsia="仿宋"/>
          <w:color w:val="000000"/>
          <w:kern w:val="0"/>
          <w:sz w:val="32"/>
          <w:szCs w:val="32"/>
        </w:rPr>
        <w:t xml:space="preserve"> 伯都乡 乡长</w:t>
      </w:r>
    </w:p>
    <w:p>
      <w:pPr>
        <w:spacing w:line="660" w:lineRule="exact"/>
        <w:ind w:firstLine="2880" w:firstLineChars="900"/>
        <w:rPr>
          <w:rFonts w:ascii="仿宋" w:hAnsi="仿宋" w:eastAsia="仿宋"/>
          <w:color w:val="000000"/>
          <w:kern w:val="0"/>
          <w:sz w:val="32"/>
          <w:szCs w:val="32"/>
        </w:rPr>
      </w:pPr>
      <w:r>
        <w:rPr>
          <w:rFonts w:hint="eastAsia" w:ascii="仿宋" w:hAnsi="仿宋" w:eastAsia="仿宋"/>
          <w:color w:val="000000" w:themeColor="text1"/>
          <w:kern w:val="0"/>
          <w:sz w:val="32"/>
          <w:szCs w:val="32"/>
          <w:lang w:eastAsia="zh-CN"/>
          <w14:textFill>
            <w14:solidFill>
              <w14:schemeClr w14:val="tx1"/>
            </w14:solidFill>
          </w14:textFill>
        </w:rPr>
        <w:t>姜鹏涛</w:t>
      </w:r>
      <w:r>
        <w:rPr>
          <w:rFonts w:hint="eastAsia" w:ascii="仿宋" w:hAnsi="仿宋" w:eastAsia="仿宋"/>
          <w:color w:val="000000" w:themeColor="text1"/>
          <w:kern w:val="0"/>
          <w:sz w:val="32"/>
          <w:szCs w:val="32"/>
          <w14:textFill>
            <w14:solidFill>
              <w14:schemeClr w14:val="tx1"/>
            </w14:solidFill>
          </w14:textFill>
        </w:rPr>
        <w:t xml:space="preserve">  </w:t>
      </w:r>
      <w:r>
        <w:rPr>
          <w:rFonts w:hint="eastAsia" w:ascii="仿宋" w:hAnsi="仿宋" w:eastAsia="仿宋"/>
          <w:color w:val="000000"/>
          <w:kern w:val="0"/>
          <w:sz w:val="32"/>
          <w:szCs w:val="32"/>
        </w:rPr>
        <w:t>新城乡 乡长</w:t>
      </w:r>
    </w:p>
    <w:p>
      <w:pPr>
        <w:spacing w:line="660" w:lineRule="exact"/>
        <w:ind w:firstLine="2880" w:firstLineChars="900"/>
        <w:rPr>
          <w:rFonts w:ascii="仿宋" w:hAnsi="仿宋" w:eastAsia="仿宋"/>
          <w:color w:val="000000"/>
          <w:kern w:val="0"/>
          <w:sz w:val="32"/>
          <w:szCs w:val="32"/>
        </w:rPr>
      </w:pPr>
      <w:r>
        <w:rPr>
          <w:rFonts w:hint="eastAsia" w:ascii="仿宋" w:hAnsi="仿宋" w:eastAsia="仿宋"/>
          <w:color w:val="000000"/>
          <w:kern w:val="0"/>
          <w:sz w:val="32"/>
          <w:szCs w:val="32"/>
          <w:lang w:eastAsia="zh-CN"/>
        </w:rPr>
        <w:t>张景珺</w:t>
      </w:r>
      <w:r>
        <w:rPr>
          <w:rFonts w:hint="eastAsia" w:ascii="仿宋" w:hAnsi="仿宋" w:eastAsia="仿宋"/>
          <w:color w:val="000000"/>
          <w:kern w:val="0"/>
          <w:sz w:val="32"/>
          <w:szCs w:val="32"/>
        </w:rPr>
        <w:t xml:space="preserve">  善友镇 镇长</w:t>
      </w:r>
    </w:p>
    <w:p>
      <w:pPr>
        <w:spacing w:line="660" w:lineRule="exact"/>
        <w:ind w:firstLine="640" w:firstLineChars="200"/>
        <w:jc w:val="left"/>
        <w:rPr>
          <w:rFonts w:hint="default" w:ascii="仿宋" w:hAnsi="仿宋" w:eastAsia="仿宋"/>
          <w:color w:val="000000"/>
          <w:kern w:val="0"/>
          <w:sz w:val="32"/>
          <w:szCs w:val="32"/>
          <w:lang w:val="en-US" w:eastAsia="zh-CN"/>
        </w:rPr>
      </w:pPr>
      <w:r>
        <w:rPr>
          <w:rFonts w:hint="eastAsia" w:ascii="仿宋" w:hAnsi="仿宋" w:eastAsia="仿宋"/>
          <w:color w:val="000000"/>
          <w:kern w:val="0"/>
          <w:sz w:val="32"/>
          <w:szCs w:val="32"/>
          <w:lang w:val="en-US" w:eastAsia="zh-CN"/>
        </w:rPr>
        <w:t xml:space="preserve">              王  平  毛都站镇 镇长</w:t>
      </w:r>
    </w:p>
    <w:p>
      <w:pPr>
        <w:spacing w:line="660" w:lineRule="exact"/>
        <w:ind w:firstLine="640" w:firstLineChars="200"/>
        <w:jc w:val="left"/>
        <w:rPr>
          <w:rFonts w:hint="default" w:ascii="仿宋" w:hAnsi="仿宋" w:eastAsia="仿宋"/>
          <w:color w:val="000000"/>
          <w:kern w:val="0"/>
          <w:sz w:val="32"/>
          <w:szCs w:val="32"/>
          <w:lang w:val="en-US" w:eastAsia="zh-CN"/>
        </w:rPr>
      </w:pPr>
    </w:p>
    <w:p>
      <w:pPr>
        <w:spacing w:line="660" w:lineRule="exact"/>
        <w:ind w:firstLine="640" w:firstLineChars="200"/>
        <w:jc w:val="left"/>
        <w:rPr>
          <w:rFonts w:eastAsia="仿宋_GB2312" w:cs="仿宋_GB2312"/>
          <w:color w:val="000000" w:themeColor="text1"/>
          <w14:textFill>
            <w14:solidFill>
              <w14:schemeClr w14:val="tx1"/>
            </w14:solidFill>
          </w14:textFill>
        </w:rPr>
      </w:pPr>
      <w:r>
        <w:rPr>
          <w:rFonts w:hint="eastAsia" w:ascii="仿宋" w:hAnsi="仿宋" w:eastAsia="仿宋"/>
          <w:color w:val="000000"/>
          <w:kern w:val="0"/>
          <w:sz w:val="32"/>
          <w:szCs w:val="32"/>
        </w:rPr>
        <w:t>领导小组下设办公室，办公室主任由王宇光担任，</w:t>
      </w:r>
      <w:r>
        <w:rPr>
          <w:rFonts w:hint="eastAsia" w:ascii="仿宋" w:hAnsi="仿宋" w:eastAsia="仿宋" w:cs="仿宋_GB2312"/>
          <w:bCs/>
          <w:sz w:val="32"/>
          <w:szCs w:val="32"/>
        </w:rPr>
        <w:t>办公室设在区农机局。办公室代表区政府承担组织、协调督导等职责。</w:t>
      </w:r>
    </w:p>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Malgun Gothic Semilight">
    <w:altName w:val="宋体"/>
    <w:panose1 w:val="020B0502040204020203"/>
    <w:charset w:val="86"/>
    <w:family w:val="swiss"/>
    <w:pitch w:val="default"/>
    <w:sig w:usb0="00000000" w:usb1="00000000" w:usb2="00000012" w:usb3="00000000" w:csb0="003E01BD" w:csb1="0000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hOGQxNDg4MjBlODM5NWEyYjNkYzA2YTJmYjY1NDEifQ=="/>
  </w:docVars>
  <w:rsids>
    <w:rsidRoot w:val="0EF176C1"/>
    <w:rsid w:val="0EF176C1"/>
    <w:rsid w:val="50F76C59"/>
    <w:rsid w:val="65992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rPr>
      <w:rFonts w:ascii="Times New Roman" w:hAnsi="Times New Roman" w:eastAsia="宋体" w:cs="Times New Roman"/>
      <w:sz w:val="32"/>
      <w:szCs w:val="32"/>
    </w:rPr>
  </w:style>
  <w:style w:type="paragraph" w:styleId="3">
    <w:name w:val="footer"/>
    <w:basedOn w:val="1"/>
    <w:qFormat/>
    <w:uiPriority w:val="99"/>
    <w:pPr>
      <w:tabs>
        <w:tab w:val="center" w:pos="4153"/>
        <w:tab w:val="right" w:pos="8306"/>
      </w:tabs>
      <w:snapToGrid w:val="0"/>
      <w:jc w:val="left"/>
    </w:pPr>
    <w:rPr>
      <w:rFonts w:ascii="Times New Roman" w:hAnsi="Times New Roman" w:eastAsia="宋体" w:cs="Times New Roman"/>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NormalCharacter"/>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1853</Words>
  <Characters>1915</Characters>
  <Lines>0</Lines>
  <Paragraphs>0</Paragraphs>
  <TotalTime>14</TotalTime>
  <ScaleCrop>false</ScaleCrop>
  <LinksUpToDate>false</LinksUpToDate>
  <CharactersWithSpaces>1976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2022-09-26T06:28:00Z</dcterms:created>
  <dc:creator>moonshine、半夏</dc:creator>
  <cp:lastModifiedBy>moonshine、半夏</cp:lastModifiedBy>
  <cp:lastPrinted>2022-09-26T07:00:50Z</cp:lastPrinted>
  <dcterms:modified xsi:type="dcterms:W3CDTF">2022-09-26T07:24:51Z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2ADE2415A8074461B91E2733E33C8B2C</vt:lpwstr>
  </property>
</Properties>
</file>