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" w:hAnsi="仿宋" w:eastAsia="仿宋" w:cs="仿宋"/>
          <w:bCs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bCs/>
          <w:sz w:val="32"/>
          <w:szCs w:val="32"/>
        </w:rPr>
        <w:t>附件3</w:t>
      </w:r>
    </w:p>
    <w:p>
      <w:pPr>
        <w:spacing w:line="600" w:lineRule="exact"/>
        <w:jc w:val="center"/>
        <w:rPr>
          <w:rFonts w:ascii="Times New Roman" w:hAnsi="Times New Roman" w:eastAsia="华文中宋" w:cs="Times New Roman"/>
          <w:b/>
          <w:bCs/>
          <w:color w:val="000000"/>
          <w:sz w:val="36"/>
          <w:szCs w:val="36"/>
        </w:rPr>
      </w:pPr>
      <w:r>
        <w:rPr>
          <w:rFonts w:ascii="Times New Roman" w:hAnsi="Times New Roman" w:eastAsia="华文中宋" w:cs="Times New Roman"/>
          <w:b/>
          <w:bCs/>
          <w:color w:val="000000"/>
          <w:sz w:val="36"/>
          <w:szCs w:val="36"/>
        </w:rPr>
        <w:t>20</w:t>
      </w:r>
      <w:r>
        <w:rPr>
          <w:rFonts w:hint="eastAsia" w:ascii="Times New Roman" w:hAnsi="Times New Roman" w:eastAsia="华文中宋" w:cs="Times New Roman"/>
          <w:b/>
          <w:bCs/>
          <w:color w:val="000000"/>
          <w:sz w:val="36"/>
          <w:szCs w:val="36"/>
        </w:rPr>
        <w:t>21</w:t>
      </w:r>
      <w:r>
        <w:rPr>
          <w:rFonts w:ascii="Times New Roman" w:eastAsia="华文中宋" w:cs="Times New Roman"/>
          <w:b/>
          <w:bCs/>
          <w:color w:val="000000"/>
          <w:sz w:val="36"/>
          <w:szCs w:val="36"/>
        </w:rPr>
        <w:t>年吉林省农机购置补贴机具补贴额一览表</w:t>
      </w:r>
    </w:p>
    <w:tbl>
      <w:tblPr>
        <w:tblStyle w:val="15"/>
        <w:tblpPr w:leftFromText="180" w:rightFromText="180" w:vertAnchor="text" w:horzAnchor="page" w:tblpX="831" w:tblpY="328"/>
        <w:tblOverlap w:val="never"/>
        <w:tblW w:w="157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0"/>
        <w:gridCol w:w="1520"/>
        <w:gridCol w:w="1195"/>
        <w:gridCol w:w="1980"/>
        <w:gridCol w:w="3030"/>
        <w:gridCol w:w="4485"/>
        <w:gridCol w:w="1335"/>
        <w:gridCol w:w="15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大类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小类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品目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分档名称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基本配置和参数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中央财政补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贴额(元）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铧式犁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单体幅宽35cm及以上,3-4铧翻转犁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单体幅宽≥35cm;铧体个数3-4铧;液压翻转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4400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铧式犁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单体幅宽35-45cm,5-6铧翻转犁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35cm≤单体幅宽&lt;45cm;铧体个数5-6铧;液压翻转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4720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铧式犁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单体幅宽35-45cm,7铧及以上翻转犁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35cm≤单体幅宽&lt;45cm;铧体个数≥7铧;液压翻转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5050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铧式犁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单体幅宽45cm及以上,5-6铧翻转犁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单体幅宽≥45cm;铧体个数5-6铧;液压翻转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8200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铧式犁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单体幅宽45cm及以上,7铧及以上翻转犁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单体幅宽≥45cm;铧体个数≥7铧;液压翻转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8500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深松机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2-3 铲凿铲式深松机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深松部件 2、3 个;深松铲结构型式:凿铲式;铲间距≥180mm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1400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深松机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4-5 铲凿铲式深松机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深松部件 4、5 个;深松铲结构型式:凿铲式;铲间距≥180mm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1700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深松机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 铲及以上凿铲式深松机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深松部件 6 个及以上;深松铲结构型式:凿铲式;铲间距≥180mm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2500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9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深松机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2-3 铲偏柱式、全方位式深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Cs w:val="21"/>
              </w:rPr>
              <w:t>松机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深松部件 2、3 个;深松铲结构型式:偏柱式或全方位式;铲间距≥330mm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1600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深松机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4-5 铲偏柱式、全方位式深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Cs w:val="21"/>
              </w:rPr>
              <w:t>松机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深松部件 4、5 个;深松铲结构型式:偏柱式或全方位式;铲间距≥330mm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2700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11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深松机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 铲及以上偏柱式、全方位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Cs w:val="21"/>
              </w:rPr>
              <w:t>式深松机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深松部件 6 个及以上;深松铲结构型式:偏柱式或全方位式;铲间距≥330mm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3400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12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微耕机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功率4.0kW及以上微耕机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配套功率≥4.0kW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13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整地机械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筑埂机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筑埂高度25cm及以上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筑埂高度≥25cm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14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整地机械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埋茬起浆机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幅宽&lt;1.8m埋茬起浆机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幅宽&lt;1.8m,驱动型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15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整地机械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埋茬起浆机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1.8m≤幅宽&lt;2.2m埋茬起浆机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1.8m≤幅宽&lt;2.2m,驱动型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1600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16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整地机械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埋茬起浆机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2.2m≤幅宽&lt;2.6m埋茬起浆机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2.2m≤幅宽&lt;2.6m,驱动型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17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整地机械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埋茬起浆机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2.6m≤幅宽&lt;3.2m埋茬起浆机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2.6m≤幅宽&lt;3.2m,驱动型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2400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18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整地机械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埋茬起浆机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幅宽3.2m及以上埋茬起浆机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幅宽3.2m及以上,驱动型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19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播种机械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小粒种子播种机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3-5行气力式小粒种子播种机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3行≤播种行数≤5行;施肥、播种等复式作业;排种器:气力式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1500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20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播种机械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小粒种子播种机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6行及以上气力式小粒种子播种机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播种行数≥6行;施肥、播种等复式作业;排种器:气力式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4290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21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播种机械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根茎作物播种机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2-3行马铃薯播种机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2行≤播种行数≤3行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3500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22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播种机械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根茎作物播种机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4行及以上马铃薯播种机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播种行数≥4行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3900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23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播种机械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免耕播种机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2-3 行免耕精量播种机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精量排种器;播种行数 2、3 行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24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播种机械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免耕播种机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4-5 行免耕精量播种机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精量排种器;播种行数 4、5 行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1800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25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播种机械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免耕播种机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 行及以上免耕精量播种机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精量排种器;播种行数≥6 行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5200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26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播种机械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免耕播种机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2-3 行牵引式免耕穴播机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精量排种器;播种行数 2、3 行;牵引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Cs w:val="21"/>
              </w:rPr>
              <w:t>式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12400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27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播种机械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免耕播种机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4-5 行牵引式免耕穴播机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精量排种器;播种行数 4、5 行;牵引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Cs w:val="21"/>
              </w:rPr>
              <w:t>式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21300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28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播种机械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免耕播种机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 行及以上牵引式免耕穴播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Cs w:val="21"/>
              </w:rPr>
              <w:t>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精量排种器;播种行数≥6 行;牵引式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32300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29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播种机械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免耕播种机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2-3 行高性能牵引式免耕穴播机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牵引式;单体结构质量≥130kg,2行整机结构质量≥850kg,3行整机结构质量≥1200kg;圆盘式开沟器;独立无极或多级镇压机构;排种器为指夹式、气力式;指夹式作业速度≥6km/h;气力式作业速度≥8km/h;动土率≤20%;单体独立同步仿型,独立破茬清垄机构（破茬装置为圆盘式）。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15800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30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播种机械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免耕播种机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4-5 行高性能牵引式免耕穴播机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牵引式;单体结构质量≥130kg,4行整机结构质量≥1700kg,5行整机结构质量≥2100kg;圆盘式开沟器;独立无极或多级镇压机构;排种器为指夹式、气力式;指夹式作业速度≥6km/h;气力式作业速度≥8km/h;动土率≤20%;单体独立同步仿型,独立破茬清垄机构（破茬装置为圆盘式）。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29300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31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播种机械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免耕播种机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 行及以上高性能牵引式免耕穴播机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牵引式;单体结构质量≥130kg,整机结构质量≥2400kg;圆盘式开沟器;独立无极或多级镇压机构;排种器为指夹式、气力式;指夹式作业速度≥6km/h;气力式作业速度≥8km/h;动土率≤20%;单体独立同步仿型,独立破茬清垄机构（破茬装置为圆盘式）。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42800</w:t>
            </w:r>
          </w:p>
        </w:tc>
        <w:tc>
          <w:tcPr>
            <w:tcW w:w="1535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32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育苗机械设备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秧盘播种成套设备(含床土处理)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生产率500(盘/h)及以上秧盘播种成套设备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含铺底土、播种、洒水、覆土功能;生产率≥500(盘/h)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1200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33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育苗机械设备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秧盘播种成套设备(含床土处理)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自走式秧盘育秧播种机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含铺底土、播种、覆土、自动摆盘功能;工作效率:≥800盘/h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2400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34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栽植机械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水稻插秧机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 行手扶步进式水稻插秧机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手扶步进式;4 行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4400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35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栽植机械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水稻插秧机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 行及以上手扶步进式水稻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Cs w:val="21"/>
              </w:rPr>
              <w:t>插秧机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手扶步进式;6 行及以上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5600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36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栽植机械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水稻插秧机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 行及以上独轮乘坐式水稻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Cs w:val="21"/>
              </w:rPr>
              <w:t>插秧机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独轮乘坐式;6 行及以上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4200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37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栽植机械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水稻插秧机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4-5 行四轮乘坐式水稻插秧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Cs w:val="21"/>
              </w:rPr>
              <w:t>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四轮乘坐式;4、5 行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15800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38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栽植机械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水稻插秧机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6-7 行四轮乘坐式水稻插秧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Cs w:val="21"/>
              </w:rPr>
              <w:t>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四轮乘坐式;6、7 行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27000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39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栽植机械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水稻插秧机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 行及以上四轮乘坐式水稻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Cs w:val="21"/>
              </w:rPr>
              <w:t>插秧机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四轮乘坐式;8 行及以上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37400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40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栽植机械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秧苗移栽机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1-2行秧苗移栽机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行数1、2行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3600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41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栽植机械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秧苗移栽机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3行及以上秧苗移栽机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行数≥3行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5400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42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栽植机械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秧苗移栽机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1-2行自走式秧苗移栽机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自走式,行数1、2行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6300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43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栽植机械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秧苗移栽机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3行及以上自走式秧苗移栽机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自走式,行数≥3行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8100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44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栽植机械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秧苗移栽机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6-7行四轮乘坐式水稻钵苗移栽机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四轮乘坐式;6、7行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27000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45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栽植机械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秧苗移栽机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8行及以上四轮乘坐式水稻钵苗移栽机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四轮乘坐式;8行及以上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38600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46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施肥机械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施肥机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6行及以上电控螺旋推进式水稻侧深施肥装置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工作行数≥6行,电控螺旋推进精准施肥;具备插秧施肥同步控制装置、施肥量调节装置、漏施堵塞报警装置、控制屏显示装置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7500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47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施肥机械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施肥机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6行及以上气吹式水稻侧深施肥装置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工作行数≥6行;采用外槽轮风送施肥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5300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48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施肥机械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施肥机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6行及以上机械螺旋推进式水稻侧深施肥装置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工作行数≥6行;采用机械螺杆强制施肥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3140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49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施肥机械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撒肥机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摆动式撒肥机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摆动式,肥箱容积≥200L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3270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50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施肥机械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撒肥机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1-3m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³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自走式固态肥抛洒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1m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³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≤料箱容积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&lt;3m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³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51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施肥机械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撒肥机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3m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³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及以上自走式固态肥抛洒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料箱容积为≥3m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³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3500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52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施肥机械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撒肥机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非自走式固态肥抛洒机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料箱容积≥0.5m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³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1500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53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施肥机械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撒肥机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自走式液态肥撒施机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罐体容积≥6m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³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54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施肥机械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撒肥机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非自走式液态肥撒施机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罐体容积≥6m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³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4200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55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田间管理机械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中耕机械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田园管理机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功率4.0kW及以上田园管理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配套功率≥4.0kW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56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田间管理机械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植保机械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喷杆喷雾机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18m 及以上牵引式喷杆喷雾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Cs w:val="21"/>
              </w:rPr>
              <w:t>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喷杆长度≥18m;药箱≥2000L;型式:牵引式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3900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57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田间管理机械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植保机械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喷杆喷雾机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18-50 马力自走式四轮转向喷杆喷雾机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18 马力≤功率＜50 马力;药箱≥400L;喷杆长度≥8m;离地间隙≥0.8m;型式:自走式;四轮驱动;四轮转向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15700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58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田间管理机械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植保机械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喷杆喷雾机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50-100 马力自走式四轮转向喷杆喷雾机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50 马力≤功率＜100 马力;药箱≥700L;喷杆长度≥10m;离地间隙≥0.8m;型式:自走式;四轮驱动;四轮转向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16900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59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田间管理机械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植保机械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喷杆喷雾机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100 马力及以上自走式四轮转向喷杆喷雾机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功率≥100 马力;药箱≥1000L;喷杆长度≥20m;离地间隙≥0.8m;型式:自走式;四轮驱动;四轮转向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23200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60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田间管理机械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植保机械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植保无人驾驶航空器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10-20L 多旋翼植保无人驾驶航空器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10L≤药液箱额定容量＜20L;多旋翼;电动、油动、油电混动;电动须配置智能电池系统,含智能电池 2 组及以上;具有避障系统;具有 RTK 的高精度卫星导航定位系统;具有电子围栏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61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田间管理机械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植保机械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植保无人驾驶航空器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20-30L 多旋翼植保无人驾驶航空器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20L≤药液箱额定容量＜30L;多旋翼;电动、油动、油电混动;电动须配置智能电池系统,含智能电池 2 组及以上;具有避障系统;具有 RTK 的高精度卫星导航定位系统;具有电子围栏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9000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62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田间管理机械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植保机械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植保无人驾驶航空器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30L 及以上多旋翼植保无人驾驶航空器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药液箱额定容量≥30L;多旋翼;电动、油动、油电混动;电动须配置智能电池系统,含智能电池 2 组及以上;具有避障系统;具有 RTK 的高精度卫星导航定位系统;具有电子围栏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12000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63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田间管理机械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植保机械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植保无人驾驶航空器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15L-25L 单旋翼植保无人驾驶航空器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15L≤药液箱额定容量＜25L;单旋翼;电动、油动、油电混动;电动须配置智能电池系统,含智能电池 2 组及以上;具有避障系统;具有 RTK 的高精度卫星导航定位系统;具有电子围栏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9000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64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田间管理机械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植保机械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植保无人驾驶航空器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25L 及以上单旋翼植保无人驾驶航空器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药液箱额定容量≥25L;单旋翼;电动、油动、油电混动;电动须配置智能电池系统,含智能电池 2 组及以上;具有避障系统;具有 RTK 的高精度卫星导航定位系统;具有电子围栏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12000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65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自走轮式谷物联合收割机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2-3kg/s 自走轮式谷物联合收割机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2kg/s≤喂入量＜3kg/s;自走轮式;喂入方式:全喂入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11700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66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自走轮式谷物联合收割机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3-4kg/s 自走轮式谷物联合收割机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3kg/s≤喂入量＜4kg/s;自走轮式;喂入方式:全喂入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12900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67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自走轮式谷物联合收割机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4-5kg/s 自走轮式谷物联合收割机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4kg/s≤喂入量＜5kg/s;自走轮式;喂入方式:全喂入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13500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68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自走轮式谷物联合收割机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5-6kg/s 自走轮式谷物联合收割机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5kg/s≤喂入量＜6kg/s;自走轮式;喂入方式:全喂入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30000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69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自走轮式谷物联合收割机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6-7kg/s 自走轮式谷物联合收割机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6kg/s≤喂入量＜7kg/s;自走轮式;喂入方式:全喂入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35800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70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自走轮式谷物联合收割机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7kg/s 及以上自走轮式谷物联合收割机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喂入量≥7kg/s;自走轮式;喂入方式:全喂入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40300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71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自走履带式谷物联合收割机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Cs w:val="21"/>
              </w:rPr>
              <w:t>（全喂入）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0.6-1kg/s 自走履带式谷物联合收割机（全喂入）,包含 1-1.5kg/s 自走履带式水稻联合收割机（全喂入）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0.6kg/s≤喂入量＜1kg/s,1kg/s≤水稻机喂入量＜1.5kg/s;自走履带式;喂入方式:全喂入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6300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72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自走履带式谷物联合收割机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Cs w:val="21"/>
              </w:rPr>
              <w:t>（全喂入）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1-1.5kg/s 自走履带式谷物联合收割机（全喂入）,包含 1.5-2.1kg/s 自走履带式水稻联合收割机（全喂入）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1kg/s≤喂入量＜1.5kg/s,1.5kg/s≤水稻机喂入量＜2.1kg/s;自走履带式;喂入方式:全喂入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9100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73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自走履带式谷物联合收割机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Cs w:val="21"/>
              </w:rPr>
              <w:t>（全喂入）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1.5-2.1kg/s 自走履带式谷物联合收割机（全喂入）,包含 2.1-3kg/s 自走履带式水稻联合收割机（全喂入）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1.5kg/s≤喂入量＜2.1kg/s,2.1kg/s≤水稻机喂入量＜3kg/s;自走履带式;喂入方式:全喂入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13800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74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自走履带式谷物联合收割机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Cs w:val="21"/>
              </w:rPr>
              <w:t>（全喂入）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2.1-3kg/s 自走履带式谷物联合收割机（全喂入）,包含 3-4kg/s 自走履带式水稻联合收割机（全喂入）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2.1kg/s≤喂入量＜3kg/s,3kg/s≤水稻机喂入量＜4kg/s;自走履带式;喂入方式:全喂入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20500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75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自走履带式谷物联合收割机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Cs w:val="21"/>
              </w:rPr>
              <w:t>（全喂入）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3-4kg/s 自走履带式谷物联合收割机（全喂入）,包含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Cs w:val="21"/>
              </w:rPr>
              <w:t>4kg/s 及以上自走履带式水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Cs w:val="21"/>
              </w:rPr>
              <w:t>稻联合收割机（全喂入）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3kg/s≤喂入量＜4kg/s,水稻机喂入量≥4kg/s;自走履带式;喂入方式:全喂入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24000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76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自走履带式谷物联合收割机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Cs w:val="21"/>
              </w:rPr>
              <w:t>（全喂入）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4kg/s 及以上自走履带式谷物联合收割机（全喂入）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喂入量≥4kg/s;自走履带式;喂入方式:全喂入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31300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77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半喂入联合收割机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 行 35 马力及以上半喂入联合收割机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收获行数:3 行;喂入方式:半喂入;功率≥35 马力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18000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78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半喂入联合收割机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 行及以上 35 马力及以上半喂入联合收割机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收获行数≥4 行;喂入方式:半喂入;功率≥35 马力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50000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79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自走式玉米收获机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 行摘穗剥皮型自走式玉米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Cs w:val="21"/>
              </w:rPr>
              <w:t>收获机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 行割台;1m≤幅宽＜1.6m;型式:自走式（摘穗剥皮型）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20400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80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自走式玉米收获机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 行摘穗剥皮型自走式玉米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Cs w:val="21"/>
              </w:rPr>
              <w:t>收获机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 行割台;1.6m≤幅宽＜2.2m;型式:自走式（摘穗剥皮型）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40460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81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自走式玉米收获机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 行摘穗剥皮型自走式玉米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Cs w:val="21"/>
              </w:rPr>
              <w:t>收获机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 行割台;2.2m≤幅宽＜2.8m;型式:自走式（摘穗剥皮型）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54410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82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自走式玉米收获机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 行及以上摘穗剥皮型自走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Cs w:val="21"/>
              </w:rPr>
              <w:t>式玉米收获机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 行及以上割台;幅宽≥2.8m;型式:自走式（摘穗剥皮型）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74400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83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自走式玉米收获机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 行及以上摘穗剥皮型自走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Cs w:val="21"/>
              </w:rPr>
              <w:t>式玉米收获机（窄行距）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 行及以上割台;1m≤幅宽＜1.6m;型式:自走式（摘穗剥皮型）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23100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84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自走式玉米收获机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 行及以上摘穗剥皮型自走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Cs w:val="21"/>
              </w:rPr>
              <w:t>式玉米收获机（窄行距）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 行及以上割台;1.6m≤幅宽＜2.2m;型式:自走式（摘穗剥皮型）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40700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85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自走式玉米收获机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 行及以上摘穗剥皮型自走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Cs w:val="21"/>
              </w:rPr>
              <w:t>式玉米收获机（窄行距）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 行及以上割台;2.2m≤幅宽＜2.8m;型式:自走式（摘穗剥皮型）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55800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86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穗茎兼收玉米收获机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 行穗茎兼收玉米收获机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 行割台;1m≤工作幅宽＜1.6m;型式:自走式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26800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87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穗茎兼收玉米收获机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 行穗茎兼收玉米收获机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 行割台;1.6m≤工作幅宽＜2.2m;型式:自走式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45700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88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穗茎兼收玉米收获机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 行穗茎兼收玉米收获机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 行割台;2.2m≤工作幅宽＜2.8m;型式:自走式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61000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89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穗茎兼收玉米收获机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 行及以上穗茎兼收玉米收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Cs w:val="21"/>
              </w:rPr>
              <w:t>获机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 行及以上割台;工作幅宽≥2.8m;型式:自走式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79700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90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穗茎兼收玉米收获机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 行及以上穗茎兼收玉米收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Cs w:val="21"/>
              </w:rPr>
              <w:t>获机（窄行距）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 行及以上割台;1m≤幅宽＜1.6m;型式:自走式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26800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91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穗茎兼收玉米收获机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 行及以上穗茎兼收玉米收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Cs w:val="21"/>
              </w:rPr>
              <w:t>获机（窄行距）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 行及以上割台;1.6m≤幅宽＜2.2m;型式:自走式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45700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92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穗茎兼收玉米收获机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 行及以上穗茎兼收玉米收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Cs w:val="21"/>
              </w:rPr>
              <w:t>获机（窄行距）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 行及以上割台;2.2m≤幅宽＜2.8m;型式:自走式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61000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93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自走式玉米籽粒联合收获机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 行及以下自走式玉米籽粒联合收获机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 行及以上割台;工作幅宽＜2.2m;型式:自走式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18900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94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自走式玉米籽粒联合收获机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 行自走式玉米籽粒联合收获机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 行割台;2.2m≤工作幅宽＜2.8m;型式:自走式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30600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95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自走式玉米籽粒联合收获机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 行及以上自走式玉米籽粒联合收获机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 行及以上割台;工作幅宽≥2.8m;型式:自走式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72100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96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自走式玉米籽粒联合收获机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 行及以上自走式玉米籽粒联合收获机（窄行距）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 行及以上割台;2.2m≤工作幅宽＜2.8m;型式:自走式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42900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97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果实收获机械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辣椒收获机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辣椒收获机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自走式、工作幅宽≥1.8m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98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根茎作物收获机械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薯类收获机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0.7-1m分段式薯类收获机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分段收获;0.7m≤作业幅宽&lt;1m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1100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99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根茎作物收获机械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薯类收获机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1-1.5m分段式薯类收获机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分段收获;1m≤作业幅宽&lt;1.5m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4130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100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根茎作物收获机械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薯类收获机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1.5m及以上分段式薯类收获机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分段收获;作业幅宽≥1.5m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4500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101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根茎作物收获机械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薯类收获机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薯类联合收获机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联合收获,包含挖掘、抖土、分离、集装等功能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18000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102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根茎作物收获机械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花生收获机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幅宽0.8-1.5米花生收获机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0.8米≤幅宽&lt;1.5米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103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根茎作物收获机械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花生收获机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幅宽1.5米及以上花生收获机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幅宽≥1.5米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1700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104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根茎作物收获机械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花生收获机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捡拾收获机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含捡拾、分离、摘果、集箱等功能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11000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105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根茎作物收获机械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花生收获机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自走式联合收获机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含挖掘、分离、摘果、集箱等功能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16300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106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根茎作物收获机械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花生收获机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自走式花生捡拾收获机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捡拾幅宽≥2.5m,自走式,具有捡拾、分离、摘果以及秧蔓破碎、秧蔓收集等功能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32000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107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搂草机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5.4m以下侧向指盘式搂草机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搂幅宽度&lt;5.4m;侧向指盘式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1400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108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搂草机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5.4m及以上侧向指盘式液压搂草机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搂幅宽度≥5.4m;液压折叠式;侧向指盘式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3800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109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打（压）捆机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压缩室截面积（宽×高）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Cs w:val="21"/>
              </w:rPr>
              <w:t>0.102m</w:t>
            </w:r>
            <w:r>
              <w:rPr>
                <w:rFonts w:hint="eastAsia" w:ascii="仿宋_GB2312" w:eastAsia="仿宋_GB2312"/>
                <w:color w:val="000000"/>
                <w:szCs w:val="21"/>
                <w:vertAlign w:val="superscript"/>
              </w:rPr>
              <w:t>2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 xml:space="preserve"> 及以上方捆捡拾压捆机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方捆;压缩室截面积（宽×高）≥0.102m2;打结器数量≥2 个;捡拾宽度≥0.7m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5400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110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打（压）捆机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压缩室截面积（宽×高）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Cs w:val="21"/>
              </w:rPr>
              <w:t>0.1344m</w:t>
            </w:r>
            <w:r>
              <w:rPr>
                <w:rFonts w:hint="eastAsia" w:ascii="仿宋_GB2312" w:eastAsia="仿宋_GB2312"/>
                <w:color w:val="000000"/>
                <w:szCs w:val="21"/>
                <w:vertAlign w:val="superscript"/>
              </w:rPr>
              <w:t>2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 xml:space="preserve"> 及以上方捆捡拾压捆机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方捆;压缩室截面积（宽×高）≥0.1344m2;打结器数量≥2 个;捡拾宽度≥1.2m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10800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111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打（压）捆机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压缩室截面积（宽×高）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Cs w:val="21"/>
              </w:rPr>
              <w:t>0.154m</w:t>
            </w:r>
            <w:r>
              <w:rPr>
                <w:rFonts w:hint="eastAsia" w:ascii="仿宋_GB2312" w:eastAsia="仿宋_GB2312"/>
                <w:color w:val="000000"/>
                <w:szCs w:val="21"/>
                <w:vertAlign w:val="superscript"/>
              </w:rPr>
              <w:t>2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 xml:space="preserve"> 及以上方捆捡拾压捆机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方捆;压缩室截面积（宽×高）≥0.154m2;打结器数量≥2 个;捡拾宽度≥1.7m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16300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112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打（压）捆机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压缩室截面积（宽×高）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Cs w:val="21"/>
              </w:rPr>
              <w:t>0.162m</w:t>
            </w:r>
            <w:r>
              <w:rPr>
                <w:rFonts w:hint="eastAsia" w:ascii="仿宋_GB2312" w:eastAsia="仿宋_GB2312"/>
                <w:color w:val="000000"/>
                <w:szCs w:val="21"/>
                <w:vertAlign w:val="superscript"/>
              </w:rPr>
              <w:t>2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 xml:space="preserve"> 及以上方捆捡拾压捆机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方捆;压缩室截面积（宽×高）≥0.162m2;打结器数量≥2 个;捡拾宽度≥2.2m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21600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113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打（压）捆机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压缩室截面积（宽×高）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Cs w:val="21"/>
              </w:rPr>
              <w:t>0.1998m</w:t>
            </w:r>
            <w:r>
              <w:rPr>
                <w:rFonts w:hint="eastAsia" w:ascii="仿宋_GB2312" w:eastAsia="仿宋_GB2312"/>
                <w:color w:val="000000"/>
                <w:szCs w:val="21"/>
                <w:vertAlign w:val="superscript"/>
              </w:rPr>
              <w:t>2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 xml:space="preserve"> 及以上方捆捡拾压捆机（3 个及以上打结器）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方捆;压缩室截面积（宽×高）≥0.1998m2;打结器数量≥3 个;捡拾宽度≥2.2m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31600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114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打（压）捆机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压缩室直径 0.5m 及上圆捆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Cs w:val="21"/>
              </w:rPr>
              <w:t>捡拾压捆机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圆捆;压缩室直径≥0.5m;压缩室宽度≥0.7mm;捡拾宽度≥0.7m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5600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115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打（压）捆机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压缩室直径 0.8m 及以上圆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Cs w:val="21"/>
              </w:rPr>
              <w:t>捆捡拾压捆机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圆捆;压缩室直径≥0.8m;压缩室宽度≥0.8m;捡拾宽度≥1.2m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12000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116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打（压）捆机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压缩室直径 1m 及以上圆捆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Cs w:val="21"/>
              </w:rPr>
              <w:t>捡拾压捆机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圆捆;压缩室直径≥1m;压缩室宽度≥1m;捡拾宽度≥1.7m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16300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117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打（压）捆机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压缩室直径 1.2m 及以上圆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Cs w:val="21"/>
              </w:rPr>
              <w:t>捆捡拾压捆机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圆捆;压缩室直径≥1.2m;压缩室宽度≥1.2m;捡拾宽度≥2.2m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24300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118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打（压）捆机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压缩室直径 0.52m 及以上圆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Cs w:val="21"/>
              </w:rPr>
              <w:t>捆压捆机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圆捆;压缩室直径≥0.52m;压缩室宽度≥0.52m;功率≥4kW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5600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119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打（压）捆机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压缩室截面积（宽×高）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Cs w:val="21"/>
              </w:rPr>
              <w:t>0.081m</w:t>
            </w:r>
            <w:r>
              <w:rPr>
                <w:rFonts w:hint="eastAsia" w:ascii="仿宋_GB2312" w:eastAsia="仿宋_GB2312"/>
                <w:color w:val="000000"/>
                <w:szCs w:val="21"/>
                <w:vertAlign w:val="superscript"/>
              </w:rPr>
              <w:t>2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 xml:space="preserve"> 及以上方捆压捆机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方捆;压缩室截面积（宽×高）≥0.081m2;7.5kW≤功率＜15kW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2300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120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打（压）捆机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压缩室截面积（宽×高）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Cs w:val="21"/>
              </w:rPr>
              <w:t>0.105m</w:t>
            </w:r>
            <w:r>
              <w:rPr>
                <w:rFonts w:hint="eastAsia" w:ascii="仿宋_GB2312" w:eastAsia="仿宋_GB2312"/>
                <w:color w:val="000000"/>
                <w:szCs w:val="21"/>
                <w:vertAlign w:val="superscript"/>
              </w:rPr>
              <w:t>2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 xml:space="preserve"> 及以上方捆压捆机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方捆;压缩室截面积（宽×高）≥0.105m2;功率≥15kW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5400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121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打（压）捆机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压缩室截面积（宽×高）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Cs w:val="21"/>
              </w:rPr>
              <w:t>0.0936m</w:t>
            </w:r>
            <w:r>
              <w:rPr>
                <w:rFonts w:hint="eastAsia" w:ascii="仿宋_GB2312" w:eastAsia="仿宋_GB2312"/>
                <w:color w:val="000000"/>
                <w:szCs w:val="21"/>
                <w:vertAlign w:val="superscript"/>
              </w:rPr>
              <w:t>2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 xml:space="preserve"> 及以上无打结器自动套袋方捆捡拾压捆机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方捆;压缩室截面积（宽×高）≥0.0936m2;捡拾宽度≥1.7m;自动套袋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16300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122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打（压）捆机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压缩室截面积（宽×高）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Cs w:val="21"/>
              </w:rPr>
              <w:t>0.1344m</w:t>
            </w:r>
            <w:r>
              <w:rPr>
                <w:rFonts w:hint="eastAsia" w:ascii="仿宋_GB2312" w:eastAsia="仿宋_GB2312"/>
                <w:color w:val="000000"/>
                <w:szCs w:val="21"/>
                <w:vertAlign w:val="superscript"/>
              </w:rPr>
              <w:t>2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 xml:space="preserve"> 及以上无打结器自动套袋方捆捡拾压捆机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方捆;压缩室截面积（宽×高）≥0.1344m2;捡拾宽度≥2.2m;自动套袋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21600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123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打（压）捆机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压缩室直径 1m 及以上带割台自走式圆捆打捆机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圆捆;自走式;捡拾宽度≥1.7m;压缩室直径≥1m;压缩室宽度≥0.85m;捡拾器结构型式:圆盘式割台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50000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124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圆草捆包膜机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圆草捆包膜机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单一包膜作业,包膜圆草捆直径≥40cm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1440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125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圆草捆包膜机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圆草捆打捆包膜机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打捆、包膜复式作业,打捆直径≥60cm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7200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126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0.9-1.1m 悬挂单圆盘式青饲料收获机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悬挂单圆盘式;0.9m≤割幅＜1.1m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3390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127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1.1m 及以上悬挂单圆盘式青饲料收获机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悬挂单圆盘式;割幅≥1.1m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128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0.9-1.1m 悬挂双圆盘式青饲料收获机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悬挂双圆盘式;0.9m≤割幅＜1.1m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4500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129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1.1-2.1m 悬挂双圆盘式青饲料收获机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悬挂双圆盘式;1.1m≤割幅＜2.1m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9000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130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2.1-2.2m 悬挂双圆盘式青饲料收获机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悬挂双圆盘式;2.1m≤割幅＜2.2m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19700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131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2.2m 及以上悬挂双圆盘式青饲料收获机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悬挂双圆盘式;割幅≥2.2m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20600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132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1.6-1.9m 悬挂其他式青饲料收获机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悬挂其他式;1.6m≤割幅＜1.9m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7700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133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1.9-2.2m 悬挂其他式青饲料收获机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悬挂其他式;1.9m≤割幅＜2.2m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8300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134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2.2m 及以上悬挂其他式青饲料收获机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悬挂其他式;割幅≥2.2m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10500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135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1.1m 及以上牵引式青饲料收获机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牵引式;割幅≥1.1m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6300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136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2-2.6m 自走圆盘式青饲料收获机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自走圆盘式;2m≤割幅＜2.6m;籽粒破碎机构:无或非对辊式;配套发动机功率≥110kW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63700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137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2-2.6m 自走圆盘式青饲料收获机,带对辊式籽粒破碎机构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自走圆盘式;2m≤割幅＜2.6m,籽粒破碎机构:对辊式;配套发动机功率≥115kW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73700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138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2.6m 及以上自走圆盘式青饲料收获机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自走圆盘式;割幅≥2.6m,籽粒破碎机构:无或非对辊式;配套发动机功率≥130kW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107200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139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2.6m 及以上自走圆盘式青饲料收获机,带对辊式籽粒破碎机构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自走圆盘式;割幅≥2.6m,籽粒破碎机构:对辊式;配套发动机功率≥150kW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117200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140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1.8-2.2m 自走其他式青饲料收获机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自走其他式;1.8m≤割幅＜2.2m,籽粒破碎机构:无或非对辊式;配套发动机功率≥90kW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45300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141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1.8-2.2m 自走其他式青饲料收获机,带对辊式籽粒破碎机构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自走其他式;1.8m≤割幅＜2.2m,籽粒破碎机构:对辊式;配套发动机功率≥105kW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51300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142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2.2-2.6m 自走其他式青饲料收获机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自走其他式;2.2m≤割幅＜2.6m,籽粒破碎机构:无或非对辊式;配套发动机功率≥115kW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53300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143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2.2-2.6m 自走其他式青饲料收获机,带对辊式籽粒破碎机构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自走其他式;2.2m≤割幅＜2.6m,籽粒破碎机构:对辊式;配套发动机功率≥115kW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59300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144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2.6-2.9m 自走其他式青饲料收获机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自走其他式;2.6m≤割幅＜2.9m,籽粒破碎机构:无或非对辊式;配套发动机功率≥150kW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63600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145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2.6-2.9m 自走其他式青饲料收获机,带对辊式籽粒破碎机构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自走其他式;2.6m≤割幅＜2.9m,籽粒破碎机构:对辊式;配套发动机功率≥ 150kW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69600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146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2.9m 及以上自走其他式青饲料收获机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自走其他式;割幅≥2.9m,籽粒破碎机构:无或非对辊式;配套发动机功率≥190kW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95900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147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2.9m 及以上自走其他式青饲料收获机,带对辊式籽粒破碎机构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自走其他式;割幅≥2.9m,籽粒破碎机构:对辊式;配套发动机功率≥215kW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107200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148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茎秆收集处理机械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秸秆粉碎还田机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1-1.5m 秸秆粉碎还田机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1m≤作业幅宽＜1.5m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900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149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茎秆收集处理机械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秸秆粉碎还田机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1.5-2m 秸秆粉碎还田机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1.5m≤作业幅宽＜2m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1800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150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茎秆收集处理机械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秸秆粉碎还田机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2-2.5m 秸秆粉碎还田机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2m≤作业幅宽＜2.5m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2100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151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茎秆收集处理机械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秸秆粉碎还田机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2.5m 及以上秸秆粉碎还田机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作业幅宽≥2.5m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2700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152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脱粒机械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花生摘果机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花生摘果机,配套动力3-7kW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花生摘果机,3kW≤配套动力&lt;7kW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153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脱粒机械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花生摘果机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花生摘果机,配套动力7-11kW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花生摘果机,7kW≤配套动力&lt;11kW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1300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154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脱粒机械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花生摘果机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花生摘果机,配套动力11kW及以上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花生摘果机,配套动力≥11kW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2600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155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清选机械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风筛清选机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生产率25t/h及以上风筛清选机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小时产量≥25吨风筛清选机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156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清选机械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重力清选机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生产率25t/h及以上重力清选机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小时产量≥25吨重力清选机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157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清选机械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窝眼清选机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生产率25t/h及以上窝眼清选机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小时产量≥25吨窝眼清选机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158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清选机械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复式清选机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生产率25t/h及以上复式清选机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小时产量≥25吨复式清选机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159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谷物烘干机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批处理量 30t 以下循环式谷物烘干机（移动式）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移动式,10t≤批处理量＜30t;循环式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46000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160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谷物烘干机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批处理量 30t 及以上循环式谷物烘干机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批处理量≥30t;循环式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46900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161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谷物烘干机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处理量 100t/d 及以上连续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Cs w:val="21"/>
              </w:rPr>
              <w:t>式谷物烘干机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处理量≥100t/d;连续式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69000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162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谷物烘干机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3-5t 平床式谷物烘干机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3t≤装载量＜5t;平床式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5400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163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谷物烘干机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5t 及以上平床式谷物烘干机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装载量≥5t;平床式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10300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164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果蔬烘干机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容积15M3及以上果蔬烘干机(整体脱水)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容积≥15M3;整体脱水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165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果蔬烘干机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批处理量10-20t果蔬烘干机(表面烘干)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10t≤批处理量&lt;20t;表面烘干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11000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166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种子加工机械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种子清选机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生产率1.5-3T/h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1.5T/h≤生产率&lt;3T/h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9300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167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种子加工机械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种子清选机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生产率3-10T/h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3T/h≤生产率&lt;10T/h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11100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168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种子加工机械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种子清选机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生产率10T/h以上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生产率≥10T/h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22000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169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农产品初加工机械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果蔬加工机械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水果清洗机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5t/h及以上水果清洗机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生产率≥5t/h水果清洗机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12600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170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农产品初加工机械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果蔬加工机械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水果打蜡机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生产率≥3t/h的打蜡机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生产率≥3t/h;提升机构、清洗烘干机、打蜡机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19800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171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农产品初加工机械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果蔬加工机械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蔬菜清洗机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毛刷辊长度2.5m及以上蔬菜清洗机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毛刷辊长度≥2.5m蔬菜清洗机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172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农产品初加工机械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剥壳(去皮)机械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花生脱壳机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3t/h以上花生脱壳机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生产率≥3t/h(含自动上料、除杂设备)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9000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173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农产品初加工机械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剥壳(去皮)机械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干坚果脱壳机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松子脱壳机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配套功率≥2.2kW,生产率≥250Kg/h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1500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174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农产品初加工机械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剥壳(去皮)机械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干坚果脱壳机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榛子脱壳机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配套功率≥2.2kW,生产率≥250Kg/h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1500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175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排灌机械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喷灌机械设备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喷灌机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管径65mm以下卷盘式喷灌机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卷盘式;管径&lt;65mm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3800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176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排灌机械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喷灌机械设备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喷灌机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管径65-75mm卷盘式喷灌机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卷盘式;65mm≤管径&lt;75mm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8800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177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排灌机械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喷灌机械设备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喷灌机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管径75-85mm卷盘式喷灌机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卷盘式;75mm≤管径&lt;85mm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9000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178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排灌机械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喷灌机械设备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喷灌机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管径85mm及以上卷盘式喷灌机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卷盘式;管径≥85mm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12000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179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排灌机械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喷灌机械设备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喷灌机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大型喷灌机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中心支轴式喷灌机或者平移式喷灌机(每跨≥50m)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4500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180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饲料(草)加工机械设备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铡草机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6—9t/h铡草机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6t/h≤生产率＜9t/h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181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饲料(草)加工机械设备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铡草机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9—15t/h铡草机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9t/h≤生产率＜15t/h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2700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182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饲料(草)加工机械设备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铡草机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15—20t/h铡草机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15t/h≤生产率＜20t/h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3100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183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饲料(草)加工机械设备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铡草机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20t/h及以上铡草机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生产率≥20t/h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8500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184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饲料(草)加工机械设备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青贮切碎机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6—9t/h青贮切碎机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6t/h≤生产率＜9t/h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185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饲料(草)加工机械设备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青贮切碎机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9—15t/h青贮切碎机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9t/h≤生产率＜15t/h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1300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186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饲料(草)加工机械设备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青贮切碎机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15—20t/h青贮切碎机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15t/h≤生产率＜20t/h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2500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187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饲料(草)加工机械设备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青贮切碎机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20t/h及以上青贮切碎机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生产率≥20t/h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188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饲料(草)加工机械设备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揉丝机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10-15t/h揉丝机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10≤生产率(t/h)&lt;15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189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饲料(草)加工机械设备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揉丝机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15t/h及以上揉丝机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生产率(t/h)≥15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190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饲料(草)加工机械设备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饲料(草)粉碎机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400-550mm饲料粉碎机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400mm≤转子直径&lt;550mm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690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191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饲料(草)加工机械设备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饲料(草)粉碎机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550mm及以上饲料粉碎机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转子直径≥550mm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900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192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饲料(草)加工机械设备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饲料混合机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2m</w:t>
            </w:r>
            <w:r>
              <w:rPr>
                <w:rFonts w:hint="eastAsia" w:ascii="仿宋_GB2312" w:eastAsia="仿宋_GB2312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及以上立式混合机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混合室容积≥2m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³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;立式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900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193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饲料(草)加工机械设备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饲料混合机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2m</w:t>
            </w:r>
            <w:r>
              <w:rPr>
                <w:rFonts w:hint="eastAsia" w:ascii="仿宋_GB2312" w:eastAsia="仿宋_GB2312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及以上卧式（单轴）混合机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混合室容积≥2m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³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;卧式（单轴）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194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饲料(草)加工机械设备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饲料混合机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2m</w:t>
            </w:r>
            <w:r>
              <w:rPr>
                <w:rFonts w:hint="eastAsia" w:ascii="仿宋_GB2312" w:eastAsia="仿宋_GB2312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以下立式混合机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混合室容积＜2m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³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;立式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195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饲料(草)加工机械设备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饲料混合机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2m</w:t>
            </w:r>
            <w:r>
              <w:rPr>
                <w:rFonts w:hint="eastAsia" w:ascii="仿宋_GB2312" w:eastAsia="仿宋_GB2312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以下卧式（单轴）混合机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混合室容积＜2m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³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;卧式（单轴）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2100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196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饲料(草)加工机械设备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饲料混合机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卧式（双轴）混合机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卧式（双轴）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197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饲料(草)加工机械设备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颗粒饲料压制机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平模颗粒饲料压制机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平模直径≥200mm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198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饲料(草)加工机械设备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颗粒饲料压制机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环模直径200-250mm颗粒饲料压制机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200mm≤环模直径&lt;250mm,电机功率&lt;17kW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199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饲料(草)加工机械设备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颗粒饲料压制机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环模直径250mm及以上颗粒饲料压制机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环模直径≥250mm,电机功率≥17kW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9950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200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饲料(草)加工机械设备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饲料制备（搅拌）机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4-9m</w:t>
            </w:r>
            <w:r>
              <w:rPr>
                <w:rFonts w:hint="eastAsia" w:ascii="仿宋_GB2312" w:eastAsia="仿宋_GB2312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饲料全混合日粮制备机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4m</w:t>
            </w:r>
            <w:r>
              <w:rPr>
                <w:rFonts w:hint="eastAsia" w:ascii="仿宋_GB2312" w:eastAsia="仿宋_GB2312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≤搅拌室容积＜9m</w:t>
            </w:r>
            <w:r>
              <w:rPr>
                <w:rFonts w:hint="eastAsia" w:ascii="仿宋_GB2312" w:eastAsia="仿宋_GB2312"/>
                <w:color w:val="000000"/>
                <w:szCs w:val="21"/>
                <w:vertAlign w:val="superscript"/>
              </w:rPr>
              <w:t>3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20300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201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饲料(草)加工机械设备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饲料制备（搅拌）机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9-12m</w:t>
            </w:r>
            <w:r>
              <w:rPr>
                <w:rFonts w:hint="eastAsia" w:ascii="仿宋_GB2312" w:eastAsia="仿宋_GB2312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饲料全混合日粮制备机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9m</w:t>
            </w:r>
            <w:r>
              <w:rPr>
                <w:rFonts w:hint="eastAsia" w:ascii="仿宋_GB2312" w:eastAsia="仿宋_GB2312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≤搅拌室容积＜12m</w:t>
            </w:r>
            <w:r>
              <w:rPr>
                <w:rFonts w:hint="eastAsia" w:ascii="仿宋_GB2312" w:eastAsia="仿宋_GB2312"/>
                <w:color w:val="000000"/>
                <w:szCs w:val="21"/>
                <w:vertAlign w:val="superscript"/>
              </w:rPr>
              <w:t>3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23200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202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饲料(草)加工机械设备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饲料制备（搅拌）机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12m</w:t>
            </w:r>
            <w:r>
              <w:rPr>
                <w:rFonts w:hint="eastAsia" w:ascii="仿宋_GB2312" w:eastAsia="仿宋_GB2312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及以上饲料全混合日粮制备机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搅拌室容积≥12m</w:t>
            </w:r>
            <w:r>
              <w:rPr>
                <w:rFonts w:hint="eastAsia" w:ascii="仿宋_GB2312" w:eastAsia="仿宋_GB2312"/>
                <w:color w:val="000000"/>
                <w:szCs w:val="21"/>
                <w:vertAlign w:val="superscript"/>
              </w:rPr>
              <w:t>3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27700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203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饲养机械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孵化机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10000-50000枚孵化机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10000枚≤蛋容量&lt;50000枚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7100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204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饲养机械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孵化机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50000枚及以上孵化机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蛋容量≥50000枚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18000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205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饲养机械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喂料机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螺旋喂料机输送长度50M及以下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含料塔,输送长度≤50m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1900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206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饲养机械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送料机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链条式送料机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链条式送料机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3500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207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饲养机械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送料机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青贮取料机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自走式;1400mm≤取料宽度≤1800mm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7740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208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饲养机械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送料机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50-100m索盘式送料机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索盘式;50m≤送料长度&lt;100m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2700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209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饲养机械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送料机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100m及以上索盘式送料机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索盘式;送料长度≥100m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9000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210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饲养机械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送料机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行车式喂料机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层列式喂料机,料线长度≥60m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2500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211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饲养机械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送料机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行车式自动化喂料机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行车式自动化饲喂机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212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饲养机械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送料机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60-160m超浮流式喂料机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60m≤料管长度&lt;160m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2500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213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饲养机械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送料机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160m及以上超浮流式喂料机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料管长度≥160m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214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饲养机械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送料机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60-160m螺旋弹簧式喂(送)料机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60m≤料管长度&lt;160m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3400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215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饲养机械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送料机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160m及以上螺旋弹簧式喂(送)料机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料管长度≥160m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216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饲养机械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送料机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160m及以上塞盘链式喂(送)料机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料线长度≥160m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3500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217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饲养机械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送料机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160-200m塞盘链式喂(送)料机(索盘式)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160m≤料线长度&lt;200m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218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饲养机械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送料机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200m及以上塞盘链式喂(送)料机(索盘式)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料线长度≥200m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6500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219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饲养机械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送料机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输送带式喂(送)料机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输送带有效长度50m及以上输送带式喂料机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220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饲养机械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清粪机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牵引刮板式清粪机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牵引刮板式清粪机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221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饲养机械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清粪机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禽用刮板式清粪机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禽用刮板式清粪机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222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饲养机械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清粪机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畜用刮板式清粪机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畜用刮板式清粪机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223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饲养机械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清粪机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输送带式清粪机(主要是鸡用)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有效输送带面积≥100m2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224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饲养机械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粪污固液分离机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污粪固液分离机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污粪固液分离机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2600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225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饲养机械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粪污固液分离机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0.25-0.5m2圆筒筛粪污固液分离机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0.25m2≤圆筒筛面积&lt;0.5m2;结构形式:螺旋挤压式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3500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226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饲养机械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粪污固液分离机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0.5m2及以上圆筒筛粪污固液分离机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圆筒筛面积≥0.5m2;结构形式:螺旋挤压式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227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饲养机械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粪污固液分离机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单片斜筛固液分离机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0.5m2≤单片斜筛面积≤0.8m2;结构形式:螺旋挤压式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3500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228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饲养机械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粪污固液分离机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5kw以下其他污粪固液分离机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电机总功率&lt;5kw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2600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229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饲养机械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粪污固液分离机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5-10kw其他污粪固液分离机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5kw≤电机总功率&lt;10kw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3500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230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饲养机械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粪污固液分离机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10kw及以上其他污粪固液分离机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电机总功率≥10kw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3900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231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畜产品采集加工机械设备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挤奶机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 杯组手动移动式挤奶机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杯组数:1;脱杯方式:手动;型式:移动式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1200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232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畜产品采集加工机械设备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挤奶机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 杯组手动移动式挤奶机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杯组数:2;脱杯方式:手动;型式:移动式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1800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233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畜产品采集加工机械设备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挤奶机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24-40 杯组鱼骨式挤奶机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24≤杯组数＜40;型式:鱼骨式;脉动器型式:电子;计量方式:电子计量;脱杯方式:自动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90900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234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畜产品采集加工机械设备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挤奶机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40 杯组及以上鱼骨式挤奶机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杯组数≥40;型式:鱼骨式;脉动器型式:电子;计量方式:电子计量;脱杯方式:自动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120000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235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畜产品采集加工机械设备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挤奶机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16-20 杯组并列式挤奶机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16≤杯组数＜20;型式:并列式;脉动器型式:电子;计量方式:电子计量;脱杯方式:自动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100000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236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畜产品采集加工机械设备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挤奶机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20 杯组及以上并列（转盘）式挤奶机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杯组数≥20;型式:并列（转盘）式;脉动器型式:电子;计量方式:电子计量;脱杯方式:自动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120000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237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畜产品采集加工机械设备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挤奶机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自动挤奶设备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套杯时间≤120s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120000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238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畜产品采集加工机械设备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剪羊毛机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250W及以上剪羊毛机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功率≥250W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239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畜产品采集加工机械设备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贮奶（冷藏）罐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3000-6000L 贮奶罐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3000L≤容量＜6000L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7200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240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畜产品采集加工机械设备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贮奶（冷藏）罐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6000-12000L 贮奶罐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6000L≤容量＜12000L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14700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241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畜产品采集加工机械设备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贮奶（冷藏）罐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12000-20000L 贮奶罐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12000L≤容量＜20000L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17700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242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畜产品采集加工机械设备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贮奶（冷藏）罐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20000L 及以上贮奶罐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容量≥20000L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20700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243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畜产品采集加工机械设备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贮奶（冷藏）罐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1000-3000L 非全自动清洗冷藏罐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1000L≤容量＜3000L;清洗方式:非全自动清洗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3500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244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畜产品采集加工机械设备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贮奶（冷藏）罐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3000-6000L 非全自动清洗冷藏罐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3000L≤容量＜6000L;清洗方式:非全自动清洗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10300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245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畜产品采集加工机械设备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贮奶（冷藏）罐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6000L 及以上非全自动清洗冷藏罐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容量≥6000L;清洗方式:非全自动清洗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19200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246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畜产品采集加工机械设备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贮奶（冷藏）罐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1000-3000L 以下全自动清洗冷藏罐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1000L≤容量＜3000L;清洗方式:全自动清洗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3800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247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畜产品采集加工机械设备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贮奶（冷藏）罐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3000-6000L 全自动清洗冷藏罐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3000L≤容量＜6000L;清洗方式:全自动清洗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10800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248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畜产品采集加工机械设备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贮奶（冷藏）罐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6000L 及以上全自动清洗冷藏罐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容量≥6000L;清洗方式:全自动清洗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21200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249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畜产品采集加工机械设备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贮奶（冷藏）罐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速冷设备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额定生产率≥1500L/h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50000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250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水产机械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水产养殖机械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增氧机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普通型增氧机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普通型增氧机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251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水产机械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水产养殖机械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增氧机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微孔曝气增氧机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功率≥1kW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252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残膜回收机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扒齿搂膜式或其他残膜回收机,工作幅宽1m-3m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机引式,工作方式:扒齿搂膜式或其他式,1m≤工作幅宽≤3m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840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253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残膜回收机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拔杆式残膜回收机,工作幅宽1.4m-2m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工作方式:拔杆起膜式,1.4m≤工作幅宽&lt;2m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1800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254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残膜回收机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拔杆式残膜回收机,工作幅宽2m及以上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工作方式:拔杆起膜,工作幅宽≥2m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255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残膜回收机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带秸秆粉碎功能残膜回收机,工作幅宽1.8m及以上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工作幅宽≥1.8m;带秸秆粉碎功能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256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沼液沼渣抽排设备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带刀带磨碎盘沼液沼渣抽排设备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带刀带磨碎盘;电机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450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257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沼液沼渣抽排设备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罐体容积1M3及以上沼液沼渣抽排设备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罐体容积≥1M3;不锈钢罐体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630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258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沼液沼渣抽排设备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1-2m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³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非自走式沼液沼渣抽排设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备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1m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³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≤罐体容积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&lt;2m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³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259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沼液沼渣抽排设备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2-3m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³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非自走式沼液沼渣抽排设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备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2m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³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≤罐体容积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&lt;3m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³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260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沼液沼渣抽排设备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3m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³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及以上非自走式沼液沼渣抽排设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备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罐体容积≥3m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³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1100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261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沼液沼渣抽排设备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1.5-5m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³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自走式沼液沼渣抽排设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备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1.5m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³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≤罐体容积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&lt;5m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³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262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沼液沼渣抽排设备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5m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³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及以上自走式沼液沼渣抽排设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备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罐体容积≥5m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³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263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秸秆压块(粒、棒)机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0.5-1T/H秸秆压块机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0.5T/H≤生产率＜1T/H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264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秸秆压块(粒、棒)机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1-2T/H秸秆压块机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1T/H≤生产率&lt;2T/H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265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秸秆压块(粒、棒)机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2T/H及以上秸秆压块机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生产率≥2T/H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15000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266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病死畜禽无害化处理设备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0.5-2M3畜禽养殖场有机废弃物处理机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0.5M3≤有效容积&lt;2M3,配备尾气处理装置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5400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267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病死畜禽无害化处理设备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2M3及以上畜禽养殖场有机废弃物处理机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有效容积≥2M3,配备尾气处理装置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15750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268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病死畜禽无害化处理设备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0.5-2m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³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滚筒式降解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0.5m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³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≤箱体容积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&lt;2m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³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,配备尾气处理装置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269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病死畜禽无害化处理设备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2m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³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及以上滚筒式降解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箱体容积≥2m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³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,配备尾气处理装置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270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病死畜禽无害化处理设备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0.5-2m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³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箱式降解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0.5m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³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≤箱体容积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&lt;2m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³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,配备尾气处理装置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271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病死畜禽无害化处理设备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2m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³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及以上箱式降解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箱体容积≥2m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³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,配备尾气处理装置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272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病死畜禽无害化处理设备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3.6-8m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³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高温化制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3.6m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³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≤箱体容积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&lt;8m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³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273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病死畜禽无害化处理设备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8m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³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及以上高温化制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箱体容积≥8m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³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13000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274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有机废弃物好氧发酵翻堆机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2-3m有机废弃物好氧发酵翻堆机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电机,配套总功率&gt;15kw,2m≤工作幅宽&lt;3m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3500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275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有机废弃物好氧发酵翻堆机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3-4m有机废弃物好氧发酵翻堆机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电机,配套总功率&gt;15kw,3m≤工作幅宽&lt;4m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4500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276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有机废弃物好氧发酵翻堆机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4m及以上有机废弃物好氧发酵翻堆机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电机,配套总功率&gt;15kw,工作幅宽≥4m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5500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277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有机废弃物好氧发酵翻堆机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30-50kw有机废弃物好氧发酵翻堆机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柴油机,30kw≤配套总功率&lt;50kw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4200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278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有机废弃物好氧发酵翻堆机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50kw及以上有机废弃物好氧发酵翻堆机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柴油机,配套总功率≥50kw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279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有机废弃物干式厌氧发酵装置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有机废弃物干式厌氧发酵装置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304#不锈钢材质,盛料容器容积≥2M3,厚度≥2mm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1500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280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农田基本建设机械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平地机械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平地机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幅宽2-3m激光平地机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2m≤幅宽&lt;3m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7600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281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农田基本建设机械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平地机械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平地机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幅宽3m及以上激光平地机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幅宽≥3m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11000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282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设施农业设备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温室大棚设备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电动卷帘机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电动卷帘机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配套功率≥1.1kW,,适用大棚长度≥60米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283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设施农业设备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温室大棚设备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热风炉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50000-150000kcal/h、换热效率80%及以上生物质热风炉;配备送料和温控装置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50000kcal/h≤热功率&lt;150000kcal/h,换热效率≥80%,配备送料和温控装置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284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设施农业设备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温室大棚设备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热风炉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150000-300000kcal/h、换热效率80%及以上生物质热风炉;配备送料和温控装置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150000kcal/h≤热功率&lt;300000kcal/h,换热效率≥80%,配备送料和温控装置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285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设施农业设备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温室大棚设备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热风炉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300000-450000kcal/h、换热效率80%及以上生物质热风炉;配备送料和温控装置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300000kcal/h≤热功率&lt;450000kcal/h,换热效率≥80%,配备送料和温控装置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286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设施农业设备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温室大棚设备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热风炉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450000-750000kcal/h、换热效率80%及以上生物质热风炉;配备送料和温控装置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450000kcal/h≤热功率&lt;750000kcal/h,换热效率≥80%,配备送料和温控装置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16000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287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设施农业设备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温室大棚设备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热风炉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750000kcal/h及以上、换热效率80%及以上生物质热风炉;配备送料和温控装置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热功率≥750000kcal/h,换热效率≥80%,配备送料和温控装置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20000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288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设施农业设备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温室大棚设备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热风炉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额定功率30KW及以上且制热量100KW及以上热泵热风炉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额定功率≥30KW;制热量≥100KW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20000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289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轮式拖拉机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30-40 马力四轮驱动拖拉机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30 马力≤功率＜40 马力;驱动方式:四轮驱动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6900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290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轮式拖拉机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40-50 马力四轮驱动拖拉机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40 马力≤功率＜50 马力;驱动方式:四轮驱动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7600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291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轮式拖拉机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50-60 马力四轮驱动拖拉机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50 马力≤功率＜60 马力;驱动方式:四轮驱动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8700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292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轮式拖拉机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60-70 马力四轮驱动拖拉机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60 马力≤功率＜70 马力;驱动方式:四轮驱动;K≥28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9700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293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轮式拖拉机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70-80 马力四轮驱动拖拉机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70 马力≤功率＜80 马力;驱动方式:四轮驱动;K≥28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11700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294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轮式拖拉机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80-90 马力四轮驱动拖拉机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80 马力≤功率＜90 马力;驱动方式:四轮驱动;K≥30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12500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295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轮式拖拉机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80-90 马力四轮驱动动力换挡拖拉机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80 马力≤功率＜90 马力;驱动方式:四轮驱动;换挡方式:部分动力换挡、动力换挡/换向、无级变速;K≥30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21500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296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轮式拖拉机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90-100 马力四轮驱动拖拉机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90 马力≤功率＜100 马力;驱动方式:四轮驱动;K≥30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14700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297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轮式拖拉机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90-100 马力四轮驱动动力换挡拖拉机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90 马力≤功率＜100 马力;驱动方式:四轮驱动;换挡方式:部分动力换挡、动力换挡/换向、无级变速;K≥30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24500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298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轮式拖拉机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100-120 马力四轮驱动拖拉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Cs w:val="21"/>
              </w:rPr>
              <w:t>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100 马力≤功率＜120 马力;驱动方式:四轮驱动;K≥32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17300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299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轮式拖拉机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100-120 马力四轮驱动动力换挡拖拉机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100 马力≤功率＜120 马力;驱动方式:四轮驱动;换挡方式:部分动力换挡、动力换挡/换向、无级变速;K≥32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27500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300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轮式拖拉机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120-140 马力四轮驱动拖拉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Cs w:val="21"/>
              </w:rPr>
              <w:t>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120 马力≤功率＜140 马力;驱动方式:四轮驱动;K≥32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20100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301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轮式拖拉机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120-140 马力四轮驱动动力换挡拖拉机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120 马力≤功率＜140 马力;驱动方式:四轮驱动;换挡方式:部分动力换挡、动力换挡/换向、无级变速;K≥32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34900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302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轮式拖拉机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140-160 马力四轮驱动拖拉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Cs w:val="21"/>
              </w:rPr>
              <w:t>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140 马力≤功率＜160 马力;驱动方式:四轮驱动;K≥32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30300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303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轮式拖拉机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140-160 马力四轮驱动动力换挡拖拉机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140 马力≤功率＜160 马力;驱动方式:四轮驱动;换挡方式:部分动力换挡、动力换挡/换向、无级变速;K≥32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42800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304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轮式拖拉机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160-180 马力四轮驱动拖拉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Cs w:val="21"/>
              </w:rPr>
              <w:t>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160 马力≤功率＜180 马力;驱动方式:四轮驱动;K≥32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41600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305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轮式拖拉机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160-180 马力四轮驱动动力换挡拖拉机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160 马力≤功率＜180 马力;驱动方式:四轮驱动;换挡方式:部分动力换挡、动力换挡/换向、无级变速;K≥32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49700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306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轮式拖拉机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180-200 马力四轮驱动拖拉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Cs w:val="21"/>
              </w:rPr>
              <w:t>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180 马力≤功率＜200 马力;驱动方式:四轮驱动;K≥32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35400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307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轮式拖拉机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180-200 马力四轮驱动动力换挡拖拉机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180 马力≤功率＜200 马力;驱动方式:四轮驱动;换挡方式:部分动力换挡、动力换挡/换向、无级变速;K≥32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55200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308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轮式拖拉机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200 马力及以上四轮驱动拖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Cs w:val="21"/>
              </w:rPr>
              <w:t>拉机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功率≥200 马力;驱动方式:四轮驱动;K≥32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46900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309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轮式拖拉机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200 马力及以上四轮驱动动力换挡拖拉机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功率≥200 马力;驱动方式:四轮驱动;换挡方式:部分动力换挡、动力换挡/换向、无级变速;K≥32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67200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310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手扶拖拉机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8马力及以上皮带传动手扶拖拉机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传动方式:皮带传动;功率≥8马力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1170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311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手扶拖拉机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11-15马力直联传动手扶拖拉机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传动方式:直联传动;11马力≤功率≤15马力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1710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312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履带式拖拉机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履带式拖拉机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驱动方式:履带式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14400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313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其他机械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养蜂设备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养蜂平台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移动式养蜂平台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适用蜂箱数量:≥80个;含联动式蜂箱踏板、蜂箱保湿装置、蜜蜂饲喂装置、电动摇浆机、电动取浆器、花粉干燥箱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314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其他机械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其他机械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驱动耙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2-3m驱动耙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幅宽2-3m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7200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315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其他机械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其他机械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驱动耙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3-4m驱动耙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幅宽3-4m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316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其他机械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其他机械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驱动耙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4m及以上驱动耙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幅宽4m及以上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12000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317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其他机械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其他机械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秸秆膨化机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入口螺杆直径≥120mm及以上的秸秆膨化机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生产率≥1000kg/h;入口螺杆直径≥120mm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32000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318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其他机械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其他机械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畜禽粪便发酵处理机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8-10m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³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罐式畜禽粪便发酵处理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8m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³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≤盛料容器容积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&lt;10m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³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319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其他机械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其他机械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畜禽粪便发酵处理机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10-15m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³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罐式畜禽粪便发酵处理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10m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³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≤盛料容器容积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&lt;15m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³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3500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320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其他机械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其他机械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畜禽粪便发酵处理机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15m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³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及以上罐式畜禽粪便发酵处理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盛料容器容积≥15m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³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4800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321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其他机械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其他机械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畜禽粪便发酵处理机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7-10m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³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层叠式畜禽粪便发酵处理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7m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³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≤盛料容器容积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&lt;10m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³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2800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322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其他机械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其他机械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畜禽粪便发酵处理机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10-15m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³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层叠式畜禽粪便发酵处理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10m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³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≤盛料容器容积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&lt;15m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³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3500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323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其他机械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其他机械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畜禽粪便发酵处理机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15m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³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及以上层叠式畜禽粪便发酵处理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机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盛料容器容积≥15m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³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4800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324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其他机械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其他机械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农业用北斗终端(含渔船用)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直线精度±10cm的北斗导航辅助驾驶系统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北斗导航辅助驾驶系统,直线精度±10cm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5100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325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其他机械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其他机械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农业用北斗终端(含渔船用)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直线精度±2.5cm的北斗导航辅助驾驶系统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北斗导航辅助驾驶系统,直线精度±2.5cm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7500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326</w:t>
            </w:r>
          </w:p>
        </w:tc>
        <w:tc>
          <w:tcPr>
            <w:tcW w:w="152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其他机械</w:t>
            </w:r>
          </w:p>
        </w:tc>
        <w:tc>
          <w:tcPr>
            <w:tcW w:w="119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其他机械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有机肥加工设备</w:t>
            </w:r>
          </w:p>
        </w:tc>
        <w:tc>
          <w:tcPr>
            <w:tcW w:w="3030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有机肥加工设备</w:t>
            </w:r>
          </w:p>
        </w:tc>
        <w:tc>
          <w:tcPr>
            <w:tcW w:w="448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有机肥生产率≥1t/h,含粉碎机、搅拌机、传送带、自动包装机等设备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50000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非通用类</w:t>
            </w:r>
          </w:p>
        </w:tc>
      </w:tr>
    </w:tbl>
    <w:p>
      <w:pPr>
        <w:spacing w:line="600" w:lineRule="exact"/>
        <w:rPr>
          <w:rFonts w:ascii="仿宋" w:hAnsi="仿宋" w:eastAsia="仿宋" w:cs="仿宋"/>
          <w:szCs w:val="21"/>
        </w:rPr>
      </w:pPr>
    </w:p>
    <w:sectPr>
      <w:footerReference r:id="rId3" w:type="default"/>
      <w:pgSz w:w="16838" w:h="11906" w:orient="landscape"/>
      <w:pgMar w:top="1157" w:right="1080" w:bottom="1157" w:left="969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w Cen MT">
    <w:altName w:val="Segoe Print"/>
    <w:panose1 w:val="020B0602020104020603"/>
    <w:charset w:val="00"/>
    <w:family w:val="swiss"/>
    <w:pitch w:val="default"/>
    <w:sig w:usb0="00000000" w:usb1="00000000" w:usb2="00000000" w:usb3="00000000" w:csb0="00000003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11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hideSpellingError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2138"/>
    <w:rsid w:val="000014A0"/>
    <w:rsid w:val="00014B9C"/>
    <w:rsid w:val="001024A0"/>
    <w:rsid w:val="00116BAC"/>
    <w:rsid w:val="00162953"/>
    <w:rsid w:val="00190075"/>
    <w:rsid w:val="001B2518"/>
    <w:rsid w:val="0026084D"/>
    <w:rsid w:val="00277DEF"/>
    <w:rsid w:val="002B2409"/>
    <w:rsid w:val="00326952"/>
    <w:rsid w:val="003336F2"/>
    <w:rsid w:val="0033660C"/>
    <w:rsid w:val="003E0BC8"/>
    <w:rsid w:val="003E27DA"/>
    <w:rsid w:val="003F6183"/>
    <w:rsid w:val="00411C45"/>
    <w:rsid w:val="00411EFC"/>
    <w:rsid w:val="00475B1D"/>
    <w:rsid w:val="00483A91"/>
    <w:rsid w:val="004858D8"/>
    <w:rsid w:val="004A0806"/>
    <w:rsid w:val="004B0CE6"/>
    <w:rsid w:val="005112B6"/>
    <w:rsid w:val="0054619F"/>
    <w:rsid w:val="005757C1"/>
    <w:rsid w:val="005A3700"/>
    <w:rsid w:val="005C0AC7"/>
    <w:rsid w:val="005C3B70"/>
    <w:rsid w:val="005F1B33"/>
    <w:rsid w:val="0060450B"/>
    <w:rsid w:val="00611232"/>
    <w:rsid w:val="006224AD"/>
    <w:rsid w:val="00632835"/>
    <w:rsid w:val="006413F1"/>
    <w:rsid w:val="0068445B"/>
    <w:rsid w:val="006A7E36"/>
    <w:rsid w:val="006F24F3"/>
    <w:rsid w:val="006F2F84"/>
    <w:rsid w:val="006F4519"/>
    <w:rsid w:val="0073260B"/>
    <w:rsid w:val="007374C1"/>
    <w:rsid w:val="00756DDA"/>
    <w:rsid w:val="00781232"/>
    <w:rsid w:val="007D2C8F"/>
    <w:rsid w:val="00805F24"/>
    <w:rsid w:val="0085763E"/>
    <w:rsid w:val="00887E6A"/>
    <w:rsid w:val="008F40C2"/>
    <w:rsid w:val="0090654D"/>
    <w:rsid w:val="00922C97"/>
    <w:rsid w:val="0095799E"/>
    <w:rsid w:val="00987F8D"/>
    <w:rsid w:val="009A7472"/>
    <w:rsid w:val="009E7EA3"/>
    <w:rsid w:val="00A14D1A"/>
    <w:rsid w:val="00A3117B"/>
    <w:rsid w:val="00A4083B"/>
    <w:rsid w:val="00A46239"/>
    <w:rsid w:val="00A63B23"/>
    <w:rsid w:val="00A64617"/>
    <w:rsid w:val="00A8131B"/>
    <w:rsid w:val="00AD301B"/>
    <w:rsid w:val="00B226B4"/>
    <w:rsid w:val="00B42138"/>
    <w:rsid w:val="00B51A70"/>
    <w:rsid w:val="00B6336E"/>
    <w:rsid w:val="00B7313E"/>
    <w:rsid w:val="00BE1465"/>
    <w:rsid w:val="00C14DA9"/>
    <w:rsid w:val="00C15480"/>
    <w:rsid w:val="00C175F0"/>
    <w:rsid w:val="00C80316"/>
    <w:rsid w:val="00CA1EDA"/>
    <w:rsid w:val="00CB78B8"/>
    <w:rsid w:val="00CE75EB"/>
    <w:rsid w:val="00D22034"/>
    <w:rsid w:val="00D41A83"/>
    <w:rsid w:val="00D52B6D"/>
    <w:rsid w:val="00D772F6"/>
    <w:rsid w:val="00DD4C9C"/>
    <w:rsid w:val="00DD6D75"/>
    <w:rsid w:val="00DE2108"/>
    <w:rsid w:val="00E34341"/>
    <w:rsid w:val="00E37054"/>
    <w:rsid w:val="00EB32D2"/>
    <w:rsid w:val="00EC7573"/>
    <w:rsid w:val="00ED24A7"/>
    <w:rsid w:val="00EE2318"/>
    <w:rsid w:val="00EF459B"/>
    <w:rsid w:val="00F0358D"/>
    <w:rsid w:val="00FF2CB8"/>
    <w:rsid w:val="2C685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6"/>
    <w:qFormat/>
    <w:uiPriority w:val="9"/>
    <w:pPr>
      <w:widowControl/>
      <w:spacing w:before="480" w:line="600" w:lineRule="exact"/>
      <w:contextualSpacing/>
      <w:jc w:val="left"/>
      <w:outlineLvl w:val="0"/>
    </w:pPr>
    <w:rPr>
      <w:rFonts w:ascii="Tw Cen MT" w:hAnsi="Tw Cen MT" w:eastAsia="华文仿宋" w:cs="Times New Roman"/>
      <w:b/>
      <w:bCs/>
      <w:kern w:val="0"/>
      <w:sz w:val="28"/>
      <w:szCs w:val="28"/>
      <w:lang w:eastAsia="en-US" w:bidi="en-US"/>
    </w:rPr>
  </w:style>
  <w:style w:type="paragraph" w:styleId="3">
    <w:name w:val="heading 2"/>
    <w:basedOn w:val="1"/>
    <w:next w:val="1"/>
    <w:link w:val="27"/>
    <w:semiHidden/>
    <w:unhideWhenUsed/>
    <w:qFormat/>
    <w:uiPriority w:val="9"/>
    <w:pPr>
      <w:widowControl/>
      <w:spacing w:before="200" w:line="600" w:lineRule="exact"/>
      <w:jc w:val="left"/>
      <w:outlineLvl w:val="1"/>
    </w:pPr>
    <w:rPr>
      <w:rFonts w:ascii="Tw Cen MT" w:hAnsi="Tw Cen MT" w:eastAsia="华文仿宋" w:cs="Times New Roman"/>
      <w:b/>
      <w:bCs/>
      <w:kern w:val="0"/>
      <w:sz w:val="26"/>
      <w:szCs w:val="26"/>
      <w:lang w:eastAsia="en-US" w:bidi="en-US"/>
    </w:rPr>
  </w:style>
  <w:style w:type="paragraph" w:styleId="4">
    <w:name w:val="heading 3"/>
    <w:basedOn w:val="1"/>
    <w:next w:val="1"/>
    <w:link w:val="28"/>
    <w:semiHidden/>
    <w:unhideWhenUsed/>
    <w:qFormat/>
    <w:uiPriority w:val="9"/>
    <w:pPr>
      <w:widowControl/>
      <w:spacing w:before="200" w:line="271" w:lineRule="auto"/>
      <w:jc w:val="left"/>
      <w:outlineLvl w:val="2"/>
    </w:pPr>
    <w:rPr>
      <w:rFonts w:ascii="Tw Cen MT" w:hAnsi="Tw Cen MT" w:eastAsia="华文仿宋" w:cs="Times New Roman"/>
      <w:b/>
      <w:bCs/>
      <w:kern w:val="0"/>
      <w:sz w:val="22"/>
      <w:lang w:eastAsia="en-US" w:bidi="en-US"/>
    </w:rPr>
  </w:style>
  <w:style w:type="paragraph" w:styleId="5">
    <w:name w:val="heading 4"/>
    <w:basedOn w:val="1"/>
    <w:next w:val="1"/>
    <w:link w:val="29"/>
    <w:semiHidden/>
    <w:unhideWhenUsed/>
    <w:qFormat/>
    <w:uiPriority w:val="9"/>
    <w:pPr>
      <w:widowControl/>
      <w:spacing w:before="200" w:line="600" w:lineRule="exact"/>
      <w:jc w:val="left"/>
      <w:outlineLvl w:val="3"/>
    </w:pPr>
    <w:rPr>
      <w:rFonts w:ascii="Tw Cen MT" w:hAnsi="Tw Cen MT" w:eastAsia="华文仿宋" w:cs="Times New Roman"/>
      <w:b/>
      <w:bCs/>
      <w:i/>
      <w:iCs/>
      <w:kern w:val="0"/>
      <w:sz w:val="22"/>
      <w:lang w:eastAsia="en-US" w:bidi="en-US"/>
    </w:rPr>
  </w:style>
  <w:style w:type="paragraph" w:styleId="6">
    <w:name w:val="heading 5"/>
    <w:basedOn w:val="1"/>
    <w:next w:val="1"/>
    <w:link w:val="30"/>
    <w:semiHidden/>
    <w:unhideWhenUsed/>
    <w:qFormat/>
    <w:uiPriority w:val="9"/>
    <w:pPr>
      <w:widowControl/>
      <w:spacing w:before="200" w:line="600" w:lineRule="exact"/>
      <w:jc w:val="left"/>
      <w:outlineLvl w:val="4"/>
    </w:pPr>
    <w:rPr>
      <w:rFonts w:ascii="Tw Cen MT" w:hAnsi="Tw Cen MT" w:eastAsia="华文仿宋" w:cs="Times New Roman"/>
      <w:b/>
      <w:bCs/>
      <w:color w:val="7F7F7F"/>
      <w:kern w:val="0"/>
      <w:sz w:val="22"/>
      <w:lang w:eastAsia="en-US" w:bidi="en-US"/>
    </w:rPr>
  </w:style>
  <w:style w:type="paragraph" w:styleId="7">
    <w:name w:val="heading 6"/>
    <w:basedOn w:val="1"/>
    <w:next w:val="1"/>
    <w:link w:val="31"/>
    <w:semiHidden/>
    <w:unhideWhenUsed/>
    <w:qFormat/>
    <w:uiPriority w:val="9"/>
    <w:pPr>
      <w:widowControl/>
      <w:spacing w:line="271" w:lineRule="auto"/>
      <w:jc w:val="left"/>
      <w:outlineLvl w:val="5"/>
    </w:pPr>
    <w:rPr>
      <w:rFonts w:ascii="Tw Cen MT" w:hAnsi="Tw Cen MT" w:eastAsia="华文仿宋" w:cs="Times New Roman"/>
      <w:b/>
      <w:bCs/>
      <w:i/>
      <w:iCs/>
      <w:color w:val="7F7F7F"/>
      <w:kern w:val="0"/>
      <w:sz w:val="22"/>
      <w:lang w:eastAsia="en-US" w:bidi="en-US"/>
    </w:rPr>
  </w:style>
  <w:style w:type="paragraph" w:styleId="8">
    <w:name w:val="heading 7"/>
    <w:basedOn w:val="1"/>
    <w:next w:val="1"/>
    <w:link w:val="32"/>
    <w:semiHidden/>
    <w:unhideWhenUsed/>
    <w:qFormat/>
    <w:uiPriority w:val="9"/>
    <w:pPr>
      <w:widowControl/>
      <w:spacing w:line="600" w:lineRule="exact"/>
      <w:jc w:val="left"/>
      <w:outlineLvl w:val="6"/>
    </w:pPr>
    <w:rPr>
      <w:rFonts w:ascii="Tw Cen MT" w:hAnsi="Tw Cen MT" w:eastAsia="华文仿宋" w:cs="Times New Roman"/>
      <w:i/>
      <w:iCs/>
      <w:kern w:val="0"/>
      <w:sz w:val="22"/>
      <w:lang w:eastAsia="en-US" w:bidi="en-US"/>
    </w:rPr>
  </w:style>
  <w:style w:type="paragraph" w:styleId="9">
    <w:name w:val="heading 8"/>
    <w:basedOn w:val="1"/>
    <w:next w:val="1"/>
    <w:link w:val="33"/>
    <w:semiHidden/>
    <w:unhideWhenUsed/>
    <w:qFormat/>
    <w:uiPriority w:val="9"/>
    <w:pPr>
      <w:widowControl/>
      <w:spacing w:line="600" w:lineRule="exact"/>
      <w:jc w:val="left"/>
      <w:outlineLvl w:val="7"/>
    </w:pPr>
    <w:rPr>
      <w:rFonts w:ascii="Tw Cen MT" w:hAnsi="Tw Cen MT" w:eastAsia="华文仿宋" w:cs="Times New Roman"/>
      <w:kern w:val="0"/>
      <w:sz w:val="20"/>
      <w:szCs w:val="20"/>
      <w:lang w:eastAsia="en-US" w:bidi="en-US"/>
    </w:rPr>
  </w:style>
  <w:style w:type="paragraph" w:styleId="10">
    <w:name w:val="heading 9"/>
    <w:basedOn w:val="1"/>
    <w:next w:val="1"/>
    <w:link w:val="34"/>
    <w:semiHidden/>
    <w:unhideWhenUsed/>
    <w:qFormat/>
    <w:uiPriority w:val="9"/>
    <w:pPr>
      <w:widowControl/>
      <w:spacing w:line="600" w:lineRule="exact"/>
      <w:jc w:val="left"/>
      <w:outlineLvl w:val="8"/>
    </w:pPr>
    <w:rPr>
      <w:rFonts w:ascii="Tw Cen MT" w:hAnsi="Tw Cen MT" w:eastAsia="华文仿宋" w:cs="Times New Roman"/>
      <w:i/>
      <w:iCs/>
      <w:spacing w:val="5"/>
      <w:kern w:val="0"/>
      <w:sz w:val="20"/>
      <w:szCs w:val="20"/>
      <w:lang w:eastAsia="en-US" w:bidi="en-US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2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4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37"/>
    <w:qFormat/>
    <w:uiPriority w:val="11"/>
    <w:pPr>
      <w:widowControl/>
      <w:spacing w:after="600" w:line="600" w:lineRule="exact"/>
      <w:jc w:val="left"/>
    </w:pPr>
    <w:rPr>
      <w:rFonts w:ascii="Tw Cen MT" w:hAnsi="Tw Cen MT" w:eastAsia="华文仿宋" w:cs="Times New Roman"/>
      <w:i/>
      <w:iCs/>
      <w:spacing w:val="13"/>
      <w:kern w:val="0"/>
      <w:sz w:val="24"/>
      <w:szCs w:val="24"/>
      <w:lang w:eastAsia="en-US" w:bidi="en-US"/>
    </w:rPr>
  </w:style>
  <w:style w:type="paragraph" w:styleId="14">
    <w:name w:val="Title"/>
    <w:basedOn w:val="1"/>
    <w:next w:val="1"/>
    <w:link w:val="36"/>
    <w:qFormat/>
    <w:uiPriority w:val="10"/>
    <w:pPr>
      <w:widowControl/>
      <w:pBdr>
        <w:bottom w:val="single" w:color="auto" w:sz="4" w:space="1"/>
      </w:pBdr>
      <w:spacing w:after="200"/>
      <w:contextualSpacing/>
      <w:jc w:val="left"/>
    </w:pPr>
    <w:rPr>
      <w:rFonts w:ascii="Tw Cen MT" w:hAnsi="Tw Cen MT" w:eastAsia="华文仿宋" w:cs="Times New Roman"/>
      <w:spacing w:val="5"/>
      <w:kern w:val="0"/>
      <w:sz w:val="52"/>
      <w:szCs w:val="52"/>
      <w:lang w:eastAsia="en-US" w:bidi="en-US"/>
    </w:rPr>
  </w:style>
  <w:style w:type="character" w:styleId="17">
    <w:name w:val="Strong"/>
    <w:qFormat/>
    <w:uiPriority w:val="22"/>
    <w:rPr>
      <w:b/>
      <w:bCs/>
    </w:rPr>
  </w:style>
  <w:style w:type="character" w:styleId="18">
    <w:name w:val="Emphasis"/>
    <w:qFormat/>
    <w:uiPriority w:val="20"/>
    <w:rPr>
      <w:b/>
      <w:bCs/>
      <w:i/>
      <w:iCs/>
      <w:spacing w:val="10"/>
      <w:shd w:val="clear" w:color="auto" w:fill="auto"/>
    </w:rPr>
  </w:style>
  <w:style w:type="paragraph" w:customStyle="1" w:styleId="19">
    <w:name w:val="无间隔1"/>
    <w:basedOn w:val="1"/>
    <w:link w:val="35"/>
    <w:qFormat/>
    <w:uiPriority w:val="1"/>
    <w:pPr>
      <w:widowControl/>
      <w:jc w:val="left"/>
    </w:pPr>
    <w:rPr>
      <w:rFonts w:ascii="Tw Cen MT" w:hAnsi="Tw Cen MT" w:eastAsia="华文仿宋" w:cs="Times New Roman"/>
      <w:kern w:val="0"/>
      <w:sz w:val="22"/>
      <w:lang w:eastAsia="en-US" w:bidi="en-US"/>
    </w:rPr>
  </w:style>
  <w:style w:type="paragraph" w:customStyle="1" w:styleId="20">
    <w:name w:val="列出段落1"/>
    <w:basedOn w:val="1"/>
    <w:qFormat/>
    <w:uiPriority w:val="34"/>
    <w:pPr>
      <w:widowControl/>
      <w:spacing w:after="200" w:line="600" w:lineRule="exact"/>
      <w:ind w:left="720"/>
      <w:contextualSpacing/>
      <w:jc w:val="left"/>
    </w:pPr>
    <w:rPr>
      <w:rFonts w:ascii="Tw Cen MT" w:hAnsi="Tw Cen MT" w:eastAsia="华文仿宋" w:cs="Times New Roman"/>
      <w:kern w:val="0"/>
      <w:sz w:val="22"/>
      <w:lang w:eastAsia="en-US" w:bidi="en-US"/>
    </w:rPr>
  </w:style>
  <w:style w:type="paragraph" w:customStyle="1" w:styleId="21">
    <w:name w:val="引用1"/>
    <w:basedOn w:val="1"/>
    <w:next w:val="1"/>
    <w:link w:val="38"/>
    <w:qFormat/>
    <w:uiPriority w:val="29"/>
    <w:pPr>
      <w:widowControl/>
      <w:spacing w:before="200" w:line="600" w:lineRule="exact"/>
      <w:ind w:left="360" w:right="360"/>
      <w:jc w:val="left"/>
    </w:pPr>
    <w:rPr>
      <w:rFonts w:ascii="Tw Cen MT" w:hAnsi="Tw Cen MT" w:eastAsia="华文仿宋" w:cs="Times New Roman"/>
      <w:i/>
      <w:iCs/>
      <w:kern w:val="0"/>
      <w:sz w:val="22"/>
      <w:lang w:eastAsia="en-US" w:bidi="en-US"/>
    </w:rPr>
  </w:style>
  <w:style w:type="paragraph" w:customStyle="1" w:styleId="22">
    <w:name w:val="明显引用1"/>
    <w:basedOn w:val="1"/>
    <w:next w:val="1"/>
    <w:link w:val="39"/>
    <w:qFormat/>
    <w:uiPriority w:val="30"/>
    <w:pPr>
      <w:widowControl/>
      <w:pBdr>
        <w:bottom w:val="single" w:color="auto" w:sz="4" w:space="1"/>
      </w:pBdr>
      <w:spacing w:before="200" w:after="280" w:line="600" w:lineRule="exact"/>
      <w:ind w:left="1008" w:right="1152"/>
    </w:pPr>
    <w:rPr>
      <w:rFonts w:ascii="Tw Cen MT" w:hAnsi="Tw Cen MT" w:eastAsia="华文仿宋" w:cs="Times New Roman"/>
      <w:b/>
      <w:bCs/>
      <w:i/>
      <w:iCs/>
      <w:kern w:val="0"/>
      <w:sz w:val="22"/>
      <w:lang w:eastAsia="en-US" w:bidi="en-US"/>
    </w:rPr>
  </w:style>
  <w:style w:type="paragraph" w:customStyle="1" w:styleId="23">
    <w:name w:val="TOC 标题1"/>
    <w:basedOn w:val="2"/>
    <w:next w:val="1"/>
    <w:semiHidden/>
    <w:unhideWhenUsed/>
    <w:qFormat/>
    <w:uiPriority w:val="39"/>
    <w:pPr>
      <w:outlineLvl w:val="9"/>
    </w:pPr>
  </w:style>
  <w:style w:type="character" w:customStyle="1" w:styleId="24">
    <w:name w:val="页眉 Char"/>
    <w:basedOn w:val="16"/>
    <w:link w:val="12"/>
    <w:semiHidden/>
    <w:qFormat/>
    <w:uiPriority w:val="99"/>
    <w:rPr>
      <w:sz w:val="18"/>
      <w:szCs w:val="18"/>
    </w:rPr>
  </w:style>
  <w:style w:type="character" w:customStyle="1" w:styleId="25">
    <w:name w:val="页脚 Char"/>
    <w:basedOn w:val="16"/>
    <w:link w:val="11"/>
    <w:qFormat/>
    <w:uiPriority w:val="99"/>
    <w:rPr>
      <w:sz w:val="18"/>
      <w:szCs w:val="18"/>
    </w:rPr>
  </w:style>
  <w:style w:type="character" w:customStyle="1" w:styleId="26">
    <w:name w:val="标题 1 Char"/>
    <w:basedOn w:val="16"/>
    <w:link w:val="2"/>
    <w:qFormat/>
    <w:uiPriority w:val="9"/>
    <w:rPr>
      <w:rFonts w:ascii="Tw Cen MT" w:hAnsi="Tw Cen MT" w:eastAsia="华文仿宋" w:cs="Times New Roman"/>
      <w:b/>
      <w:bCs/>
      <w:kern w:val="0"/>
      <w:sz w:val="28"/>
      <w:szCs w:val="28"/>
      <w:lang w:eastAsia="en-US" w:bidi="en-US"/>
    </w:rPr>
  </w:style>
  <w:style w:type="character" w:customStyle="1" w:styleId="27">
    <w:name w:val="标题 2 Char"/>
    <w:basedOn w:val="16"/>
    <w:link w:val="3"/>
    <w:semiHidden/>
    <w:qFormat/>
    <w:uiPriority w:val="9"/>
    <w:rPr>
      <w:rFonts w:ascii="Tw Cen MT" w:hAnsi="Tw Cen MT" w:eastAsia="华文仿宋" w:cs="Times New Roman"/>
      <w:b/>
      <w:bCs/>
      <w:kern w:val="0"/>
      <w:sz w:val="26"/>
      <w:szCs w:val="26"/>
      <w:lang w:eastAsia="en-US" w:bidi="en-US"/>
    </w:rPr>
  </w:style>
  <w:style w:type="character" w:customStyle="1" w:styleId="28">
    <w:name w:val="标题 3 Char"/>
    <w:basedOn w:val="16"/>
    <w:link w:val="4"/>
    <w:semiHidden/>
    <w:qFormat/>
    <w:uiPriority w:val="9"/>
    <w:rPr>
      <w:rFonts w:ascii="Tw Cen MT" w:hAnsi="Tw Cen MT" w:eastAsia="华文仿宋" w:cs="Times New Roman"/>
      <w:b/>
      <w:bCs/>
      <w:kern w:val="0"/>
      <w:sz w:val="22"/>
      <w:lang w:eastAsia="en-US" w:bidi="en-US"/>
    </w:rPr>
  </w:style>
  <w:style w:type="character" w:customStyle="1" w:styleId="29">
    <w:name w:val="标题 4 Char"/>
    <w:basedOn w:val="16"/>
    <w:link w:val="5"/>
    <w:semiHidden/>
    <w:qFormat/>
    <w:uiPriority w:val="9"/>
    <w:rPr>
      <w:rFonts w:ascii="Tw Cen MT" w:hAnsi="Tw Cen MT" w:eastAsia="华文仿宋" w:cs="Times New Roman"/>
      <w:b/>
      <w:bCs/>
      <w:i/>
      <w:iCs/>
      <w:kern w:val="0"/>
      <w:sz w:val="22"/>
      <w:lang w:eastAsia="en-US" w:bidi="en-US"/>
    </w:rPr>
  </w:style>
  <w:style w:type="character" w:customStyle="1" w:styleId="30">
    <w:name w:val="标题 5 Char"/>
    <w:basedOn w:val="16"/>
    <w:link w:val="6"/>
    <w:semiHidden/>
    <w:qFormat/>
    <w:uiPriority w:val="9"/>
    <w:rPr>
      <w:rFonts w:ascii="Tw Cen MT" w:hAnsi="Tw Cen MT" w:eastAsia="华文仿宋" w:cs="Times New Roman"/>
      <w:b/>
      <w:bCs/>
      <w:color w:val="7F7F7F"/>
      <w:kern w:val="0"/>
      <w:sz w:val="22"/>
      <w:lang w:eastAsia="en-US" w:bidi="en-US"/>
    </w:rPr>
  </w:style>
  <w:style w:type="character" w:customStyle="1" w:styleId="31">
    <w:name w:val="标题 6 Char"/>
    <w:basedOn w:val="16"/>
    <w:link w:val="7"/>
    <w:semiHidden/>
    <w:qFormat/>
    <w:uiPriority w:val="9"/>
    <w:rPr>
      <w:rFonts w:ascii="Tw Cen MT" w:hAnsi="Tw Cen MT" w:eastAsia="华文仿宋" w:cs="Times New Roman"/>
      <w:b/>
      <w:bCs/>
      <w:i/>
      <w:iCs/>
      <w:color w:val="7F7F7F"/>
      <w:kern w:val="0"/>
      <w:sz w:val="22"/>
      <w:lang w:eastAsia="en-US" w:bidi="en-US"/>
    </w:rPr>
  </w:style>
  <w:style w:type="character" w:customStyle="1" w:styleId="32">
    <w:name w:val="标题 7 Char"/>
    <w:basedOn w:val="16"/>
    <w:link w:val="8"/>
    <w:semiHidden/>
    <w:qFormat/>
    <w:uiPriority w:val="9"/>
    <w:rPr>
      <w:rFonts w:ascii="Tw Cen MT" w:hAnsi="Tw Cen MT" w:eastAsia="华文仿宋" w:cs="Times New Roman"/>
      <w:i/>
      <w:iCs/>
      <w:kern w:val="0"/>
      <w:sz w:val="22"/>
      <w:lang w:eastAsia="en-US" w:bidi="en-US"/>
    </w:rPr>
  </w:style>
  <w:style w:type="character" w:customStyle="1" w:styleId="33">
    <w:name w:val="标题 8 Char"/>
    <w:basedOn w:val="16"/>
    <w:link w:val="9"/>
    <w:semiHidden/>
    <w:qFormat/>
    <w:uiPriority w:val="9"/>
    <w:rPr>
      <w:rFonts w:ascii="Tw Cen MT" w:hAnsi="Tw Cen MT" w:eastAsia="华文仿宋" w:cs="Times New Roman"/>
      <w:kern w:val="0"/>
      <w:sz w:val="20"/>
      <w:szCs w:val="20"/>
      <w:lang w:eastAsia="en-US" w:bidi="en-US"/>
    </w:rPr>
  </w:style>
  <w:style w:type="character" w:customStyle="1" w:styleId="34">
    <w:name w:val="标题 9 Char"/>
    <w:basedOn w:val="16"/>
    <w:link w:val="10"/>
    <w:semiHidden/>
    <w:qFormat/>
    <w:uiPriority w:val="9"/>
    <w:rPr>
      <w:rFonts w:ascii="Tw Cen MT" w:hAnsi="Tw Cen MT" w:eastAsia="华文仿宋" w:cs="Times New Roman"/>
      <w:i/>
      <w:iCs/>
      <w:spacing w:val="5"/>
      <w:kern w:val="0"/>
      <w:sz w:val="20"/>
      <w:szCs w:val="20"/>
      <w:lang w:eastAsia="en-US" w:bidi="en-US"/>
    </w:rPr>
  </w:style>
  <w:style w:type="character" w:customStyle="1" w:styleId="35">
    <w:name w:val="无间隔 Char"/>
    <w:basedOn w:val="16"/>
    <w:link w:val="19"/>
    <w:qFormat/>
    <w:uiPriority w:val="1"/>
    <w:rPr>
      <w:rFonts w:ascii="Tw Cen MT" w:hAnsi="Tw Cen MT" w:eastAsia="华文仿宋" w:cs="Times New Roman"/>
      <w:kern w:val="0"/>
      <w:sz w:val="22"/>
      <w:lang w:eastAsia="en-US" w:bidi="en-US"/>
    </w:rPr>
  </w:style>
  <w:style w:type="character" w:customStyle="1" w:styleId="36">
    <w:name w:val="标题 Char"/>
    <w:basedOn w:val="16"/>
    <w:link w:val="14"/>
    <w:qFormat/>
    <w:uiPriority w:val="10"/>
    <w:rPr>
      <w:rFonts w:ascii="Tw Cen MT" w:hAnsi="Tw Cen MT" w:eastAsia="华文仿宋" w:cs="Times New Roman"/>
      <w:spacing w:val="5"/>
      <w:kern w:val="0"/>
      <w:sz w:val="52"/>
      <w:szCs w:val="52"/>
      <w:lang w:eastAsia="en-US" w:bidi="en-US"/>
    </w:rPr>
  </w:style>
  <w:style w:type="character" w:customStyle="1" w:styleId="37">
    <w:name w:val="副标题 Char"/>
    <w:basedOn w:val="16"/>
    <w:link w:val="13"/>
    <w:qFormat/>
    <w:uiPriority w:val="11"/>
    <w:rPr>
      <w:rFonts w:ascii="Tw Cen MT" w:hAnsi="Tw Cen MT" w:eastAsia="华文仿宋" w:cs="Times New Roman"/>
      <w:i/>
      <w:iCs/>
      <w:spacing w:val="13"/>
      <w:kern w:val="0"/>
      <w:sz w:val="24"/>
      <w:szCs w:val="24"/>
      <w:lang w:eastAsia="en-US" w:bidi="en-US"/>
    </w:rPr>
  </w:style>
  <w:style w:type="character" w:customStyle="1" w:styleId="38">
    <w:name w:val="引用 Char"/>
    <w:basedOn w:val="16"/>
    <w:link w:val="21"/>
    <w:qFormat/>
    <w:uiPriority w:val="29"/>
    <w:rPr>
      <w:rFonts w:ascii="Tw Cen MT" w:hAnsi="Tw Cen MT" w:eastAsia="华文仿宋" w:cs="Times New Roman"/>
      <w:i/>
      <w:iCs/>
      <w:kern w:val="0"/>
      <w:sz w:val="22"/>
      <w:lang w:eastAsia="en-US" w:bidi="en-US"/>
    </w:rPr>
  </w:style>
  <w:style w:type="character" w:customStyle="1" w:styleId="39">
    <w:name w:val="明显引用 Char"/>
    <w:basedOn w:val="16"/>
    <w:link w:val="22"/>
    <w:qFormat/>
    <w:uiPriority w:val="30"/>
    <w:rPr>
      <w:rFonts w:ascii="Tw Cen MT" w:hAnsi="Tw Cen MT" w:eastAsia="华文仿宋" w:cs="Times New Roman"/>
      <w:b/>
      <w:bCs/>
      <w:i/>
      <w:iCs/>
      <w:kern w:val="0"/>
      <w:sz w:val="22"/>
      <w:lang w:eastAsia="en-US" w:bidi="en-US"/>
    </w:rPr>
  </w:style>
  <w:style w:type="character" w:customStyle="1" w:styleId="40">
    <w:name w:val="不明显强调1"/>
    <w:qFormat/>
    <w:uiPriority w:val="19"/>
    <w:rPr>
      <w:i/>
      <w:iCs/>
    </w:rPr>
  </w:style>
  <w:style w:type="character" w:customStyle="1" w:styleId="41">
    <w:name w:val="明显强调1"/>
    <w:qFormat/>
    <w:uiPriority w:val="21"/>
    <w:rPr>
      <w:b/>
      <w:bCs/>
    </w:rPr>
  </w:style>
  <w:style w:type="character" w:customStyle="1" w:styleId="42">
    <w:name w:val="不明显参考1"/>
    <w:qFormat/>
    <w:uiPriority w:val="31"/>
    <w:rPr>
      <w:smallCaps/>
    </w:rPr>
  </w:style>
  <w:style w:type="character" w:customStyle="1" w:styleId="43">
    <w:name w:val="明显参考1"/>
    <w:qFormat/>
    <w:uiPriority w:val="32"/>
    <w:rPr>
      <w:smallCaps/>
      <w:spacing w:val="5"/>
      <w:u w:val="single"/>
    </w:rPr>
  </w:style>
  <w:style w:type="character" w:customStyle="1" w:styleId="44">
    <w:name w:val="书籍标题1"/>
    <w:qFormat/>
    <w:uiPriority w:val="33"/>
    <w:rPr>
      <w:i/>
      <w:iCs/>
      <w:smallCaps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25</Pages>
  <Words>3790</Words>
  <Characters>21609</Characters>
  <Lines>180</Lines>
  <Paragraphs>50</Paragraphs>
  <TotalTime>6</TotalTime>
  <ScaleCrop>false</ScaleCrop>
  <LinksUpToDate>false</LinksUpToDate>
  <CharactersWithSpaces>25349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2021-04-07T01:30:00Z</dcterms:created>
  <dc:creator>微软用户</dc:creator>
  <cp:lastModifiedBy>Administrator</cp:lastModifiedBy>
  <dcterms:modified xsi:type="dcterms:W3CDTF">2021-05-11T03:02:23Z</dcterms:modified>
  <dc:title>吉林省农业委员会 吉林省财政厅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02642600EDD44FADB9F9C8794316B317</vt:lpwstr>
  </property>
</Properties>
</file>